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A4" w:rsidRPr="00CE2DE3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CE2DE3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CE2DE3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CE2DE3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CE2DE3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CE2DE3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CE2DE3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CE2DE3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CE2DE3">
        <w:rPr>
          <w:rFonts w:ascii="Century Gothic" w:hAnsi="Century Gothic"/>
          <w:b/>
          <w:i/>
          <w:sz w:val="36"/>
          <w:szCs w:val="36"/>
        </w:rPr>
        <w:t>I.</w:t>
      </w:r>
    </w:p>
    <w:p w:rsidR="00A11CA4" w:rsidRPr="00CE2DE3" w:rsidRDefault="00A11CA4" w:rsidP="00A11CA4">
      <w:pPr>
        <w:spacing w:line="360" w:lineRule="auto"/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CE2DE3" w:rsidRDefault="00A11CA4" w:rsidP="00A11CA4">
      <w:pPr>
        <w:spacing w:line="360" w:lineRule="auto"/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CE2DE3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CE2DE3">
        <w:rPr>
          <w:rFonts w:ascii="Century Gothic" w:hAnsi="Century Gothic"/>
          <w:b/>
          <w:i/>
          <w:sz w:val="36"/>
          <w:szCs w:val="36"/>
        </w:rPr>
        <w:t xml:space="preserve">Zpráva </w:t>
      </w:r>
    </w:p>
    <w:p w:rsidR="00A11CA4" w:rsidRPr="00CE2DE3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CE2DE3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CE2DE3">
        <w:rPr>
          <w:rFonts w:ascii="Century Gothic" w:hAnsi="Century Gothic"/>
          <w:b/>
          <w:i/>
          <w:sz w:val="36"/>
          <w:szCs w:val="36"/>
        </w:rPr>
        <w:t>o základních tendencích</w:t>
      </w:r>
    </w:p>
    <w:p w:rsidR="00A11CA4" w:rsidRPr="00CE2DE3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CE2DE3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CE2DE3">
        <w:rPr>
          <w:rFonts w:ascii="Century Gothic" w:hAnsi="Century Gothic"/>
          <w:b/>
          <w:i/>
          <w:sz w:val="36"/>
          <w:szCs w:val="36"/>
        </w:rPr>
        <w:t xml:space="preserve">příjmové a výdajové situace </w:t>
      </w:r>
    </w:p>
    <w:p w:rsidR="00A11CA4" w:rsidRPr="00CE2DE3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CE2DE3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CE2DE3">
        <w:rPr>
          <w:rFonts w:ascii="Century Gothic" w:hAnsi="Century Gothic"/>
          <w:b/>
          <w:i/>
          <w:sz w:val="36"/>
          <w:szCs w:val="36"/>
        </w:rPr>
        <w:t xml:space="preserve">domácností ČR v 1. </w:t>
      </w:r>
      <w:r w:rsidR="00B73B3C" w:rsidRPr="00CE2DE3">
        <w:rPr>
          <w:rFonts w:ascii="Century Gothic" w:hAnsi="Century Gothic"/>
          <w:b/>
          <w:i/>
          <w:sz w:val="36"/>
          <w:szCs w:val="36"/>
        </w:rPr>
        <w:t xml:space="preserve">– 3. </w:t>
      </w:r>
      <w:r w:rsidRPr="00CE2DE3">
        <w:rPr>
          <w:rFonts w:ascii="Century Gothic" w:hAnsi="Century Gothic"/>
          <w:b/>
          <w:i/>
          <w:sz w:val="36"/>
          <w:szCs w:val="36"/>
        </w:rPr>
        <w:t>čtvrtletí 201</w:t>
      </w:r>
      <w:r w:rsidR="00E76BF1" w:rsidRPr="00CE2DE3">
        <w:rPr>
          <w:rFonts w:ascii="Century Gothic" w:hAnsi="Century Gothic"/>
          <w:b/>
          <w:i/>
          <w:sz w:val="36"/>
          <w:szCs w:val="36"/>
        </w:rPr>
        <w:t>5</w:t>
      </w:r>
    </w:p>
    <w:p w:rsidR="00A11CA4" w:rsidRPr="00CE2DE3" w:rsidRDefault="00A11CA4" w:rsidP="00A11CA4">
      <w:pPr>
        <w:rPr>
          <w:rFonts w:ascii="Century Gothic" w:hAnsi="Century Gothic"/>
          <w:b/>
          <w:sz w:val="36"/>
          <w:szCs w:val="36"/>
        </w:rPr>
      </w:pPr>
    </w:p>
    <w:p w:rsidR="00A11CA4" w:rsidRPr="00CE2DE3" w:rsidRDefault="00A11CA4" w:rsidP="00A11CA4">
      <w:pPr>
        <w:jc w:val="center"/>
        <w:rPr>
          <w:rFonts w:ascii="Century Gothic" w:hAnsi="Century Gothic"/>
          <w:i/>
          <w:iCs/>
          <w:sz w:val="36"/>
          <w:szCs w:val="36"/>
        </w:rPr>
      </w:pPr>
      <w:r w:rsidRPr="00CE2DE3">
        <w:rPr>
          <w:rFonts w:ascii="Century Gothic" w:hAnsi="Century Gothic"/>
          <w:i/>
          <w:iCs/>
          <w:sz w:val="36"/>
          <w:szCs w:val="36"/>
        </w:rPr>
        <w:t>(textová část)</w:t>
      </w:r>
    </w:p>
    <w:p w:rsidR="00A11CA4" w:rsidRPr="00CE2DE3" w:rsidRDefault="00A11CA4" w:rsidP="00A11CA4">
      <w:pPr>
        <w:rPr>
          <w:sz w:val="28"/>
        </w:rPr>
      </w:pPr>
    </w:p>
    <w:p w:rsidR="00A11CA4" w:rsidRPr="00CE2DE3" w:rsidRDefault="00A11CA4" w:rsidP="00A11CA4">
      <w:pPr>
        <w:spacing w:line="360" w:lineRule="auto"/>
        <w:ind w:left="426"/>
        <w:jc w:val="both"/>
      </w:pPr>
    </w:p>
    <w:p w:rsidR="00A11CA4" w:rsidRPr="00CE2DE3" w:rsidRDefault="00A11CA4" w:rsidP="00A11CA4">
      <w:pPr>
        <w:spacing w:line="360" w:lineRule="auto"/>
        <w:ind w:left="426"/>
        <w:jc w:val="both"/>
      </w:pPr>
    </w:p>
    <w:p w:rsidR="00A11CA4" w:rsidRPr="00CE2DE3" w:rsidRDefault="00A11CA4" w:rsidP="00A11CA4">
      <w:pPr>
        <w:spacing w:line="360" w:lineRule="auto"/>
        <w:ind w:left="426"/>
        <w:jc w:val="both"/>
      </w:pPr>
    </w:p>
    <w:p w:rsidR="00A11CA4" w:rsidRPr="00CE2DE3" w:rsidRDefault="00A11CA4" w:rsidP="00A11CA4">
      <w:pPr>
        <w:spacing w:line="360" w:lineRule="auto"/>
        <w:ind w:left="426"/>
        <w:jc w:val="both"/>
      </w:pPr>
    </w:p>
    <w:p w:rsidR="00E722E0" w:rsidRPr="00CE2DE3" w:rsidRDefault="00E722E0" w:rsidP="00A11CA4">
      <w:pPr>
        <w:spacing w:line="360" w:lineRule="auto"/>
      </w:pPr>
    </w:p>
    <w:p w:rsidR="00643A5A" w:rsidRPr="00CE2DE3" w:rsidRDefault="00643A5A" w:rsidP="00A11CA4">
      <w:pPr>
        <w:pStyle w:val="Nadpis1"/>
        <w:numPr>
          <w:ilvl w:val="0"/>
          <w:numId w:val="0"/>
        </w:numPr>
        <w:jc w:val="center"/>
        <w:rPr>
          <w:sz w:val="28"/>
        </w:rPr>
      </w:pPr>
    </w:p>
    <w:p w:rsidR="00643A5A" w:rsidRPr="00CE2DE3" w:rsidRDefault="00643A5A" w:rsidP="00A11CA4">
      <w:pPr>
        <w:pStyle w:val="Nadpis1"/>
        <w:numPr>
          <w:ilvl w:val="0"/>
          <w:numId w:val="0"/>
        </w:numPr>
        <w:jc w:val="center"/>
        <w:rPr>
          <w:sz w:val="28"/>
        </w:rPr>
      </w:pPr>
    </w:p>
    <w:p w:rsidR="00C4008A" w:rsidRPr="00CE2DE3" w:rsidRDefault="00C4008A" w:rsidP="00C4008A"/>
    <w:p w:rsidR="00C4008A" w:rsidRPr="00CE2DE3" w:rsidRDefault="00C4008A" w:rsidP="00C4008A"/>
    <w:p w:rsidR="00C4008A" w:rsidRPr="00CE2DE3" w:rsidRDefault="00C4008A" w:rsidP="00C4008A"/>
    <w:p w:rsidR="00C4008A" w:rsidRPr="00CE2DE3" w:rsidRDefault="00C4008A" w:rsidP="00C4008A"/>
    <w:p w:rsidR="00C4008A" w:rsidRPr="00CE2DE3" w:rsidRDefault="00C4008A" w:rsidP="00C4008A"/>
    <w:p w:rsidR="00643A5A" w:rsidRPr="00CE2DE3" w:rsidRDefault="00643A5A" w:rsidP="00A11CA4">
      <w:pPr>
        <w:pStyle w:val="Nadpis1"/>
        <w:numPr>
          <w:ilvl w:val="0"/>
          <w:numId w:val="0"/>
        </w:numPr>
        <w:jc w:val="center"/>
        <w:rPr>
          <w:sz w:val="28"/>
        </w:rPr>
      </w:pPr>
    </w:p>
    <w:p w:rsidR="00643A5A" w:rsidRPr="00CE2DE3" w:rsidRDefault="00643A5A" w:rsidP="00A11CA4">
      <w:pPr>
        <w:pStyle w:val="Nadpis1"/>
        <w:numPr>
          <w:ilvl w:val="0"/>
          <w:numId w:val="0"/>
        </w:numPr>
        <w:jc w:val="center"/>
        <w:rPr>
          <w:sz w:val="28"/>
        </w:rPr>
      </w:pPr>
    </w:p>
    <w:p w:rsidR="00C4008A" w:rsidRPr="00CE2DE3" w:rsidRDefault="00C4008A" w:rsidP="00C4008A"/>
    <w:p w:rsidR="00C4008A" w:rsidRPr="00CE2DE3" w:rsidRDefault="00C4008A" w:rsidP="00C4008A"/>
    <w:p w:rsidR="00C4008A" w:rsidRPr="00CE2DE3" w:rsidRDefault="00C4008A" w:rsidP="00C4008A"/>
    <w:p w:rsidR="00C4008A" w:rsidRPr="00CE2DE3" w:rsidRDefault="00C4008A" w:rsidP="00C4008A"/>
    <w:p w:rsidR="00C4008A" w:rsidRPr="00CE2DE3" w:rsidRDefault="00C4008A" w:rsidP="00C4008A"/>
    <w:p w:rsidR="00643A5A" w:rsidRPr="00CE2DE3" w:rsidRDefault="00643A5A" w:rsidP="00A11CA4">
      <w:pPr>
        <w:pStyle w:val="Nadpis1"/>
        <w:numPr>
          <w:ilvl w:val="0"/>
          <w:numId w:val="0"/>
        </w:numPr>
        <w:jc w:val="center"/>
        <w:rPr>
          <w:sz w:val="28"/>
        </w:rPr>
      </w:pPr>
    </w:p>
    <w:p w:rsidR="00A11CA4" w:rsidRPr="00CE2DE3" w:rsidRDefault="00A11CA4" w:rsidP="00A11CA4">
      <w:pPr>
        <w:pStyle w:val="Nadpis1"/>
        <w:numPr>
          <w:ilvl w:val="0"/>
          <w:numId w:val="0"/>
        </w:numPr>
        <w:jc w:val="center"/>
        <w:rPr>
          <w:sz w:val="28"/>
        </w:rPr>
      </w:pPr>
      <w:r w:rsidRPr="00CE2DE3">
        <w:rPr>
          <w:sz w:val="28"/>
        </w:rPr>
        <w:t>Obsah</w:t>
      </w:r>
    </w:p>
    <w:p w:rsidR="00A11CA4" w:rsidRPr="00CE2DE3" w:rsidRDefault="00A11CA4" w:rsidP="00A11CA4">
      <w:pPr>
        <w:tabs>
          <w:tab w:val="center" w:pos="8222"/>
        </w:tabs>
        <w:spacing w:line="360" w:lineRule="auto"/>
        <w:jc w:val="both"/>
      </w:pPr>
    </w:p>
    <w:p w:rsidR="00A11CA4" w:rsidRPr="00CE2DE3" w:rsidRDefault="00A11CA4" w:rsidP="00A11CA4">
      <w:pPr>
        <w:tabs>
          <w:tab w:val="center" w:pos="8222"/>
        </w:tabs>
        <w:spacing w:line="360" w:lineRule="auto"/>
        <w:jc w:val="both"/>
      </w:pPr>
    </w:p>
    <w:p w:rsidR="00A11CA4" w:rsidRPr="00CE2DE3" w:rsidRDefault="00A11CA4" w:rsidP="00A11CA4">
      <w:pPr>
        <w:tabs>
          <w:tab w:val="center" w:pos="8222"/>
        </w:tabs>
        <w:spacing w:line="360" w:lineRule="auto"/>
        <w:jc w:val="both"/>
      </w:pPr>
    </w:p>
    <w:p w:rsidR="00A11CA4" w:rsidRPr="00CE2DE3" w:rsidRDefault="00A11CA4" w:rsidP="00A11CA4">
      <w:pPr>
        <w:tabs>
          <w:tab w:val="center" w:pos="8222"/>
        </w:tabs>
        <w:spacing w:line="360" w:lineRule="auto"/>
        <w:jc w:val="both"/>
      </w:pPr>
    </w:p>
    <w:p w:rsidR="00A11CA4" w:rsidRPr="00CE2DE3" w:rsidRDefault="00A11CA4" w:rsidP="00A11CA4">
      <w:pPr>
        <w:tabs>
          <w:tab w:val="center" w:pos="8222"/>
        </w:tabs>
        <w:spacing w:line="360" w:lineRule="auto"/>
        <w:jc w:val="both"/>
      </w:pPr>
      <w:r w:rsidRPr="00CE2DE3">
        <w:tab/>
        <w:t>strana</w:t>
      </w:r>
    </w:p>
    <w:p w:rsidR="00A11CA4" w:rsidRPr="00CE2DE3" w:rsidRDefault="00A11CA4" w:rsidP="00A11CA4">
      <w:pPr>
        <w:tabs>
          <w:tab w:val="decimal" w:pos="8222"/>
        </w:tabs>
        <w:spacing w:line="360" w:lineRule="auto"/>
        <w:jc w:val="both"/>
      </w:pPr>
    </w:p>
    <w:p w:rsidR="00A11CA4" w:rsidRPr="00CE2DE3" w:rsidRDefault="006E3B0B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CE2DE3">
        <w:rPr>
          <w:b/>
          <w:bCs/>
        </w:rPr>
        <w:t>Hlavní poznatky z analýzy</w:t>
      </w:r>
      <w:r w:rsidR="00A11CA4" w:rsidRPr="00CE2DE3">
        <w:tab/>
        <w:t xml:space="preserve"> 1</w:t>
      </w:r>
    </w:p>
    <w:p w:rsidR="00A11CA4" w:rsidRPr="00CE2DE3" w:rsidRDefault="00A11CA4" w:rsidP="00A11CA4">
      <w:pPr>
        <w:tabs>
          <w:tab w:val="decimal" w:pos="8222"/>
        </w:tabs>
        <w:spacing w:line="360" w:lineRule="auto"/>
        <w:jc w:val="both"/>
      </w:pPr>
    </w:p>
    <w:p w:rsidR="00A11CA4" w:rsidRPr="00CE2DE3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CE2DE3">
        <w:rPr>
          <w:b/>
          <w:bCs/>
        </w:rPr>
        <w:t>1</w:t>
      </w:r>
      <w:r w:rsidRPr="00CE2DE3">
        <w:rPr>
          <w:b/>
        </w:rPr>
        <w:t>. Příjmy domácností</w:t>
      </w:r>
      <w:r w:rsidRPr="00CE2DE3">
        <w:tab/>
      </w:r>
      <w:r w:rsidR="009C244C" w:rsidRPr="00CE2DE3">
        <w:t>4</w:t>
      </w:r>
    </w:p>
    <w:p w:rsidR="00A11CA4" w:rsidRPr="00CE2DE3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CE2DE3">
        <w:rPr>
          <w:i/>
        </w:rPr>
        <w:tab/>
        <w:t>1. 1   Základní charakteristika</w:t>
      </w:r>
      <w:r w:rsidR="009C244C" w:rsidRPr="00CE2DE3">
        <w:tab/>
        <w:t>4</w:t>
      </w:r>
    </w:p>
    <w:p w:rsidR="00A11CA4" w:rsidRPr="00CE2DE3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CE2DE3">
        <w:rPr>
          <w:i/>
        </w:rPr>
        <w:tab/>
        <w:t>1. 2   Mzdy</w:t>
      </w:r>
      <w:r w:rsidR="009C244C" w:rsidRPr="00CE2DE3">
        <w:t xml:space="preserve"> </w:t>
      </w:r>
      <w:r w:rsidR="009C244C" w:rsidRPr="00CE2DE3">
        <w:tab/>
        <w:t>6</w:t>
      </w:r>
    </w:p>
    <w:p w:rsidR="00A11CA4" w:rsidRPr="00CE2DE3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CE2DE3">
        <w:tab/>
      </w:r>
      <w:r w:rsidRPr="00CE2DE3">
        <w:rPr>
          <w:i/>
        </w:rPr>
        <w:t>1. 3   Sociální příjmy</w:t>
      </w:r>
      <w:r w:rsidRPr="00CE2DE3">
        <w:tab/>
        <w:t>12</w:t>
      </w:r>
    </w:p>
    <w:p w:rsidR="00A11CA4" w:rsidRPr="00CE2DE3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:rsidR="00A11CA4" w:rsidRPr="00CE2DE3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CE2DE3">
        <w:rPr>
          <w:b/>
        </w:rPr>
        <w:t>2. Spotřebitelské ceny a životní náklady</w:t>
      </w:r>
      <w:r w:rsidRPr="00CE2DE3">
        <w:tab/>
        <w:t>1</w:t>
      </w:r>
      <w:r w:rsidR="004423E3" w:rsidRPr="00CE2DE3">
        <w:t>7</w:t>
      </w:r>
    </w:p>
    <w:p w:rsidR="00A11CA4" w:rsidRPr="00CE2DE3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:rsidR="00A11CA4" w:rsidRPr="00CE2DE3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CE2DE3">
        <w:rPr>
          <w:b/>
        </w:rPr>
        <w:t>3. Peněžní výdaje a úspory domácností</w:t>
      </w:r>
      <w:r w:rsidR="009C244C" w:rsidRPr="00CE2DE3">
        <w:tab/>
        <w:t>1</w:t>
      </w:r>
      <w:r w:rsidR="00C4008A" w:rsidRPr="00CE2DE3">
        <w:t>9</w:t>
      </w:r>
    </w:p>
    <w:p w:rsidR="00A11CA4" w:rsidRPr="00CE2DE3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:rsidR="00A11CA4" w:rsidRPr="00CE2DE3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sectPr w:rsidR="00A11CA4" w:rsidRPr="00CE2DE3" w:rsidSect="00A11CA4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pgNumType w:start="2"/>
          <w:cols w:space="708"/>
          <w:titlePg/>
        </w:sectPr>
      </w:pPr>
    </w:p>
    <w:p w:rsidR="00216DE1" w:rsidRPr="00CE2DE3" w:rsidRDefault="00216DE1" w:rsidP="00216DE1">
      <w:pPr>
        <w:spacing w:line="360" w:lineRule="auto"/>
        <w:jc w:val="both"/>
        <w:rPr>
          <w:b/>
          <w:i/>
          <w:sz w:val="32"/>
          <w:szCs w:val="32"/>
        </w:rPr>
      </w:pPr>
      <w:r w:rsidRPr="00CE2DE3">
        <w:rPr>
          <w:b/>
          <w:i/>
          <w:sz w:val="32"/>
          <w:szCs w:val="32"/>
        </w:rPr>
        <w:lastRenderedPageBreak/>
        <w:t xml:space="preserve">Hlavní poznatky z analýzy </w:t>
      </w:r>
    </w:p>
    <w:p w:rsidR="00825245" w:rsidRPr="00CE2DE3" w:rsidRDefault="00825245" w:rsidP="00825245">
      <w:pPr>
        <w:spacing w:line="360" w:lineRule="auto"/>
        <w:jc w:val="both"/>
      </w:pPr>
    </w:p>
    <w:p w:rsidR="00825245" w:rsidRPr="00CE2DE3" w:rsidRDefault="00825245" w:rsidP="00825245">
      <w:pPr>
        <w:spacing w:line="360" w:lineRule="auto"/>
        <w:jc w:val="both"/>
        <w:rPr>
          <w:rFonts w:eastAsia="Calibri" w:cs="Arial"/>
          <w:szCs w:val="24"/>
        </w:rPr>
      </w:pPr>
      <w:r w:rsidRPr="00CE2DE3">
        <w:tab/>
      </w:r>
      <w:r w:rsidRPr="00CE2DE3">
        <w:rPr>
          <w:rFonts w:eastAsia="Calibri" w:cs="Arial"/>
          <w:b/>
          <w:bCs/>
          <w:szCs w:val="24"/>
        </w:rPr>
        <w:t xml:space="preserve">Ekonomika České republiky </w:t>
      </w:r>
      <w:r w:rsidRPr="00CE2DE3">
        <w:rPr>
          <w:rFonts w:eastAsia="Calibri" w:cs="Arial"/>
          <w:szCs w:val="24"/>
        </w:rPr>
        <w:t>navázala ve třetím čtvrtletí na vývoj v prvním pololetí 2015 a </w:t>
      </w:r>
      <w:r w:rsidRPr="00CE2DE3">
        <w:rPr>
          <w:rFonts w:eastAsia="Calibri" w:cs="Arial"/>
          <w:b/>
          <w:bCs/>
          <w:szCs w:val="24"/>
        </w:rPr>
        <w:t xml:space="preserve">pokračovala </w:t>
      </w:r>
      <w:r w:rsidRPr="00CE2DE3">
        <w:rPr>
          <w:rFonts w:eastAsia="Calibri" w:cs="Arial"/>
          <w:szCs w:val="24"/>
        </w:rPr>
        <w:t>tak</w:t>
      </w:r>
      <w:r w:rsidRPr="00CE2DE3">
        <w:rPr>
          <w:rFonts w:eastAsia="Calibri" w:cs="Arial"/>
          <w:b/>
          <w:bCs/>
          <w:szCs w:val="24"/>
        </w:rPr>
        <w:t xml:space="preserve"> ve vysokém růstu. Kladně se </w:t>
      </w:r>
      <w:r w:rsidRPr="00CE2DE3">
        <w:rPr>
          <w:rFonts w:eastAsia="Calibri" w:cs="Arial"/>
          <w:szCs w:val="24"/>
        </w:rPr>
        <w:t xml:space="preserve">na této dynamice vývoje národního hospodářství </w:t>
      </w:r>
      <w:r w:rsidRPr="00CE2DE3">
        <w:rPr>
          <w:rFonts w:eastAsia="Calibri" w:cs="Arial"/>
          <w:b/>
          <w:bCs/>
          <w:szCs w:val="24"/>
        </w:rPr>
        <w:t xml:space="preserve">podílel zejména zrychlený výběr finančních prostředků z fondů EU, </w:t>
      </w:r>
      <w:r w:rsidRPr="00CE2DE3">
        <w:rPr>
          <w:rFonts w:eastAsia="Calibri" w:cs="Arial"/>
          <w:bCs/>
          <w:szCs w:val="24"/>
        </w:rPr>
        <w:t>dále také</w:t>
      </w:r>
      <w:r w:rsidRPr="00CE2DE3">
        <w:rPr>
          <w:rFonts w:eastAsia="Calibri" w:cs="Arial"/>
          <w:b/>
          <w:bCs/>
          <w:szCs w:val="24"/>
        </w:rPr>
        <w:t xml:space="preserve"> rostoucí investice firem a spotřeba domácností. </w:t>
      </w:r>
      <w:r w:rsidRPr="00CE2DE3">
        <w:rPr>
          <w:rFonts w:eastAsia="Calibri" w:cs="Arial"/>
          <w:szCs w:val="24"/>
        </w:rPr>
        <w:t>Tempo meziročního růstu HDP v ČR bylo třetí nejvyšší v Evropské unii.</w:t>
      </w:r>
    </w:p>
    <w:p w:rsidR="00825245" w:rsidRPr="00CE2DE3" w:rsidRDefault="00825245" w:rsidP="00825245">
      <w:pPr>
        <w:spacing w:line="360" w:lineRule="auto"/>
        <w:jc w:val="both"/>
        <w:rPr>
          <w:rFonts w:eastAsia="Calibri" w:cs="Arial"/>
          <w:szCs w:val="24"/>
        </w:rPr>
      </w:pPr>
    </w:p>
    <w:p w:rsidR="00825245" w:rsidRPr="00CE2DE3" w:rsidRDefault="00825245" w:rsidP="00825245">
      <w:pPr>
        <w:spacing w:line="360" w:lineRule="auto"/>
        <w:jc w:val="both"/>
        <w:rPr>
          <w:rFonts w:eastAsia="Calibri" w:cs="Arial"/>
          <w:szCs w:val="24"/>
        </w:rPr>
      </w:pPr>
      <w:r w:rsidRPr="00CE2DE3">
        <w:rPr>
          <w:rFonts w:eastAsia="Calibri" w:cs="Arial"/>
          <w:szCs w:val="24"/>
        </w:rPr>
        <w:tab/>
      </w:r>
      <w:r w:rsidRPr="00CE2DE3">
        <w:rPr>
          <w:rFonts w:eastAsia="Calibri" w:cs="Arial"/>
          <w:b/>
          <w:bCs/>
          <w:szCs w:val="24"/>
        </w:rPr>
        <w:t xml:space="preserve">Hrubý domácí produkt se </w:t>
      </w:r>
      <w:r w:rsidRPr="00CE2DE3">
        <w:rPr>
          <w:rFonts w:eastAsia="Calibri" w:cs="Arial"/>
          <w:szCs w:val="24"/>
        </w:rPr>
        <w:t>ve třetím čtvrtletí</w:t>
      </w:r>
      <w:r w:rsidRPr="00CE2DE3">
        <w:rPr>
          <w:rFonts w:eastAsia="Calibri" w:cs="Arial"/>
          <w:b/>
          <w:bCs/>
          <w:szCs w:val="24"/>
        </w:rPr>
        <w:t xml:space="preserve"> meziročně zvýšil</w:t>
      </w:r>
      <w:r w:rsidRPr="00CE2DE3">
        <w:rPr>
          <w:rFonts w:eastAsia="Calibri" w:cs="Arial"/>
          <w:szCs w:val="24"/>
        </w:rPr>
        <w:t xml:space="preserve"> ve stálých cenách </w:t>
      </w:r>
      <w:r w:rsidRPr="00CE2DE3">
        <w:rPr>
          <w:rFonts w:eastAsia="Calibri" w:cs="Arial"/>
          <w:b/>
          <w:bCs/>
          <w:szCs w:val="24"/>
        </w:rPr>
        <w:t>o 4,7 %</w:t>
      </w:r>
      <w:r w:rsidRPr="00CE2DE3">
        <w:rPr>
          <w:rFonts w:eastAsia="Calibri" w:cs="Arial"/>
          <w:szCs w:val="24"/>
        </w:rPr>
        <w:t xml:space="preserve"> a dosáhl vyššího růstu než ve druhém (+4,6 %) </w:t>
      </w:r>
      <w:r w:rsidR="008A2E9E">
        <w:rPr>
          <w:rFonts w:eastAsia="Calibri" w:cs="Arial"/>
          <w:szCs w:val="24"/>
        </w:rPr>
        <w:t>i</w:t>
      </w:r>
      <w:r w:rsidRPr="00CE2DE3">
        <w:rPr>
          <w:rFonts w:eastAsia="Calibri" w:cs="Arial"/>
          <w:szCs w:val="24"/>
        </w:rPr>
        <w:t xml:space="preserve"> prvním čtvrtletí (+4,1 %). </w:t>
      </w:r>
      <w:r w:rsidRPr="00CE2DE3">
        <w:rPr>
          <w:rFonts w:eastAsia="Calibri" w:cs="Arial"/>
          <w:b/>
          <w:bCs/>
          <w:szCs w:val="24"/>
        </w:rPr>
        <w:t>Ve srovnání s 2. čtvrtletím 2015 došlo k růstu HDP o 0,7 %.</w:t>
      </w:r>
      <w:r w:rsidRPr="00CE2DE3">
        <w:rPr>
          <w:rFonts w:eastAsia="Calibri" w:cs="Arial"/>
          <w:szCs w:val="24"/>
        </w:rPr>
        <w:t xml:space="preserve"> Významně se na růstu ekonomiky projevily zvýšené investice na tvorbu fixního kapitálu a výdaje vládních institucí. Dalším prorůstovým faktorem byly </w:t>
      </w:r>
      <w:r w:rsidRPr="00CE2DE3">
        <w:rPr>
          <w:rFonts w:eastAsia="Calibri" w:cs="Arial"/>
          <w:b/>
          <w:bCs/>
          <w:szCs w:val="24"/>
        </w:rPr>
        <w:t>výdaje na konečnou spotřebu, které</w:t>
      </w:r>
      <w:r w:rsidRPr="00CE2DE3">
        <w:rPr>
          <w:rFonts w:eastAsia="Calibri" w:cs="Arial"/>
          <w:szCs w:val="24"/>
        </w:rPr>
        <w:t xml:space="preserve"> </w:t>
      </w:r>
      <w:r w:rsidRPr="00CE2DE3">
        <w:rPr>
          <w:rFonts w:eastAsia="Calibri" w:cs="Arial"/>
          <w:b/>
          <w:bCs/>
          <w:szCs w:val="24"/>
        </w:rPr>
        <w:t>se</w:t>
      </w:r>
      <w:r w:rsidRPr="00CE2DE3">
        <w:rPr>
          <w:rFonts w:eastAsia="Calibri" w:cs="Arial"/>
          <w:szCs w:val="24"/>
        </w:rPr>
        <w:t xml:space="preserve"> </w:t>
      </w:r>
      <w:r w:rsidRPr="00CE2DE3">
        <w:rPr>
          <w:rFonts w:eastAsia="Calibri" w:cs="Arial"/>
          <w:b/>
          <w:bCs/>
          <w:szCs w:val="24"/>
        </w:rPr>
        <w:t>v sektoru domácností</w:t>
      </w:r>
      <w:r w:rsidRPr="00CE2DE3">
        <w:rPr>
          <w:rFonts w:eastAsia="Calibri" w:cs="Arial"/>
          <w:szCs w:val="24"/>
        </w:rPr>
        <w:t xml:space="preserve"> </w:t>
      </w:r>
      <w:r w:rsidRPr="00CE2DE3">
        <w:rPr>
          <w:rFonts w:eastAsia="Calibri" w:cs="Arial"/>
          <w:b/>
          <w:bCs/>
          <w:szCs w:val="24"/>
        </w:rPr>
        <w:t>zvýšily reálně o 3,0 %.</w:t>
      </w:r>
    </w:p>
    <w:p w:rsidR="00825245" w:rsidRPr="00CE2DE3" w:rsidRDefault="00825245" w:rsidP="00825245">
      <w:pPr>
        <w:spacing w:line="360" w:lineRule="auto"/>
        <w:jc w:val="both"/>
        <w:rPr>
          <w:rFonts w:eastAsia="Calibri" w:cs="Arial"/>
          <w:szCs w:val="24"/>
        </w:rPr>
      </w:pPr>
    </w:p>
    <w:p w:rsidR="00825245" w:rsidRPr="00CE2DE3" w:rsidRDefault="00825245" w:rsidP="00825245">
      <w:pPr>
        <w:spacing w:after="240" w:line="360" w:lineRule="auto"/>
        <w:jc w:val="both"/>
        <w:rPr>
          <w:b/>
        </w:rPr>
      </w:pPr>
      <w:r w:rsidRPr="00CE2DE3">
        <w:rPr>
          <w:rFonts w:eastAsia="Calibri" w:cs="Arial"/>
          <w:szCs w:val="24"/>
        </w:rPr>
        <w:tab/>
      </w:r>
      <w:r w:rsidRPr="00CE2DE3">
        <w:rPr>
          <w:b/>
        </w:rPr>
        <w:t xml:space="preserve">Rozbor </w:t>
      </w:r>
      <w:r w:rsidRPr="00CE2DE3">
        <w:t>příjmů a výdajů domácností</w:t>
      </w:r>
      <w:r w:rsidRPr="00CE2DE3">
        <w:rPr>
          <w:b/>
        </w:rPr>
        <w:t xml:space="preserve"> přinesl </w:t>
      </w:r>
      <w:r w:rsidRPr="00CE2DE3">
        <w:t xml:space="preserve"> v 1. – 3. čtvrtletí 2015 zejména </w:t>
      </w:r>
      <w:r w:rsidRPr="00CE2DE3">
        <w:rPr>
          <w:b/>
        </w:rPr>
        <w:t>tyto hlavní poznatky:</w:t>
      </w:r>
    </w:p>
    <w:p w:rsidR="00825245" w:rsidRPr="00CE2DE3" w:rsidRDefault="00825245" w:rsidP="00825245">
      <w:pPr>
        <w:numPr>
          <w:ilvl w:val="0"/>
          <w:numId w:val="29"/>
        </w:numPr>
        <w:spacing w:after="240" w:line="360" w:lineRule="auto"/>
        <w:ind w:left="720"/>
        <w:jc w:val="both"/>
      </w:pPr>
      <w:r w:rsidRPr="00CE2DE3">
        <w:t xml:space="preserve">úhrnný </w:t>
      </w:r>
      <w:r w:rsidRPr="00CE2DE3">
        <w:rPr>
          <w:b/>
        </w:rPr>
        <w:t>disponibilní důchod</w:t>
      </w:r>
      <w:r w:rsidRPr="00CE2DE3">
        <w:t xml:space="preserve"> sektoru</w:t>
      </w:r>
      <w:r w:rsidRPr="00CE2DE3">
        <w:rPr>
          <w:b/>
          <w:bCs/>
        </w:rPr>
        <w:t xml:space="preserve"> domácností </w:t>
      </w:r>
      <w:r w:rsidRPr="00CE2DE3">
        <w:t>(na makroúrovni statistiky národních účtů)</w:t>
      </w:r>
      <w:r w:rsidRPr="00CE2DE3">
        <w:rPr>
          <w:b/>
          <w:bCs/>
        </w:rPr>
        <w:t xml:space="preserve"> vzrostl </w:t>
      </w:r>
      <w:r w:rsidRPr="00CE2DE3">
        <w:t xml:space="preserve">nominálně </w:t>
      </w:r>
      <w:r w:rsidRPr="00CE2DE3">
        <w:rPr>
          <w:b/>
          <w:bCs/>
        </w:rPr>
        <w:t xml:space="preserve">o 2,3 % na 1 694,7 mld. Kč, tj. </w:t>
      </w:r>
      <w:r w:rsidRPr="00CE2DE3">
        <w:rPr>
          <w:bCs/>
        </w:rPr>
        <w:t>reálně</w:t>
      </w:r>
      <w:r w:rsidRPr="00CE2DE3">
        <w:rPr>
          <w:b/>
          <w:bCs/>
        </w:rPr>
        <w:t xml:space="preserve"> o 1,9 %, </w:t>
      </w:r>
      <w:r w:rsidRPr="00CE2DE3">
        <w:rPr>
          <w:bCs/>
        </w:rPr>
        <w:t>s výjimkou reálných důchodů z vlastnictví a smíšeného důchodu</w:t>
      </w:r>
      <w:r w:rsidRPr="00CE2DE3">
        <w:rPr>
          <w:b/>
          <w:bCs/>
        </w:rPr>
        <w:t xml:space="preserve"> se obnovil vzestup kupní síly všech </w:t>
      </w:r>
      <w:r w:rsidRPr="00CE2DE3">
        <w:rPr>
          <w:bCs/>
        </w:rPr>
        <w:t>dalších</w:t>
      </w:r>
      <w:r w:rsidRPr="00CE2DE3">
        <w:rPr>
          <w:b/>
          <w:bCs/>
        </w:rPr>
        <w:t xml:space="preserve"> součástí běžných příjmů sektoru domácností, </w:t>
      </w:r>
      <w:r w:rsidRPr="00CE2DE3">
        <w:rPr>
          <w:bCs/>
        </w:rPr>
        <w:t>a to vč. náhrad zaměstnancům (zejména mezd a platů) a sociálních dávek,</w:t>
      </w:r>
    </w:p>
    <w:p w:rsidR="00825245" w:rsidRPr="00CE2DE3" w:rsidRDefault="00825245" w:rsidP="00825245">
      <w:pPr>
        <w:numPr>
          <w:ilvl w:val="0"/>
          <w:numId w:val="29"/>
        </w:numPr>
        <w:spacing w:after="240" w:line="360" w:lineRule="auto"/>
        <w:ind w:left="654"/>
        <w:jc w:val="both"/>
      </w:pPr>
      <w:r w:rsidRPr="00CE2DE3">
        <w:rPr>
          <w:bCs/>
        </w:rPr>
        <w:t xml:space="preserve">nominální </w:t>
      </w:r>
      <w:r w:rsidRPr="00CE2DE3">
        <w:t xml:space="preserve">čisté peněžní </w:t>
      </w:r>
      <w:r w:rsidRPr="00CE2DE3">
        <w:rPr>
          <w:b/>
        </w:rPr>
        <w:t>p</w:t>
      </w:r>
      <w:r w:rsidRPr="00CE2DE3">
        <w:rPr>
          <w:b/>
          <w:bCs/>
        </w:rPr>
        <w:t xml:space="preserve">říjmy na úrovni </w:t>
      </w:r>
      <w:r w:rsidRPr="00CE2DE3">
        <w:t>konkrétních typů</w:t>
      </w:r>
      <w:r w:rsidRPr="00CE2DE3">
        <w:rPr>
          <w:b/>
          <w:bCs/>
        </w:rPr>
        <w:t xml:space="preserve"> domácností </w:t>
      </w:r>
      <w:r w:rsidRPr="00CE2DE3">
        <w:t xml:space="preserve">(na bázi statistiky rodinných účtů) </w:t>
      </w:r>
      <w:r w:rsidRPr="00CE2DE3">
        <w:rPr>
          <w:b/>
        </w:rPr>
        <w:t>se</w:t>
      </w:r>
      <w:r w:rsidRPr="00CE2DE3">
        <w:t xml:space="preserve"> meziročně </w:t>
      </w:r>
      <w:r w:rsidRPr="00CE2DE3">
        <w:rPr>
          <w:b/>
        </w:rPr>
        <w:t xml:space="preserve">zvýšily </w:t>
      </w:r>
      <w:r w:rsidRPr="00CE2DE3">
        <w:t>v úhrnu</w:t>
      </w:r>
      <w:r w:rsidRPr="00CE2DE3">
        <w:rPr>
          <w:b/>
        </w:rPr>
        <w:t xml:space="preserve"> o 2,1 %, což na 1 člena domácnosti</w:t>
      </w:r>
      <w:r w:rsidRPr="00CE2DE3">
        <w:t xml:space="preserve"> výběrového souboru představovalo navýšení o 258 Kč na </w:t>
      </w:r>
      <w:r w:rsidRPr="00CE2DE3">
        <w:rPr>
          <w:b/>
        </w:rPr>
        <w:t xml:space="preserve">12 802 Kč; kupní síla příjmů </w:t>
      </w:r>
      <w:r w:rsidRPr="00CE2DE3">
        <w:t xml:space="preserve">byla </w:t>
      </w:r>
      <w:r w:rsidRPr="00CE2DE3">
        <w:rPr>
          <w:b/>
        </w:rPr>
        <w:t>reálně</w:t>
      </w:r>
      <w:r w:rsidRPr="00CE2DE3">
        <w:t xml:space="preserve"> </w:t>
      </w:r>
      <w:r w:rsidRPr="00CE2DE3">
        <w:rPr>
          <w:b/>
        </w:rPr>
        <w:t>o 1,6 %</w:t>
      </w:r>
      <w:r w:rsidRPr="00CE2DE3">
        <w:t xml:space="preserve"> </w:t>
      </w:r>
      <w:r w:rsidRPr="00CE2DE3">
        <w:rPr>
          <w:b/>
        </w:rPr>
        <w:t>vyšší než před rokem,</w:t>
      </w:r>
    </w:p>
    <w:p w:rsidR="00825245" w:rsidRPr="00CE2DE3" w:rsidRDefault="00825245" w:rsidP="00825245">
      <w:pPr>
        <w:numPr>
          <w:ilvl w:val="0"/>
          <w:numId w:val="29"/>
        </w:numPr>
        <w:spacing w:after="240" w:line="360" w:lineRule="auto"/>
        <w:ind w:left="720"/>
        <w:jc w:val="both"/>
        <w:rPr>
          <w:rFonts w:cs="Arial"/>
          <w:b/>
          <w:bCs/>
        </w:rPr>
      </w:pPr>
      <w:r w:rsidRPr="00CE2DE3">
        <w:rPr>
          <w:rFonts w:cs="Arial"/>
          <w:b/>
          <w:bCs/>
        </w:rPr>
        <w:t>největším zdrojem peněžních příjmů domácností byly mzdy; průměrná nominální měsíční mzda v národním hospodářství</w:t>
      </w:r>
      <w:r w:rsidRPr="00CE2DE3">
        <w:rPr>
          <w:rFonts w:cs="Arial"/>
          <w:bCs/>
        </w:rPr>
        <w:t xml:space="preserve"> (na přepočtené počty zaměstnanců) dosáhla úrovně </w:t>
      </w:r>
      <w:r w:rsidRPr="00CE2DE3">
        <w:rPr>
          <w:rFonts w:cs="Arial"/>
          <w:b/>
          <w:bCs/>
        </w:rPr>
        <w:t>25 903 Kč</w:t>
      </w:r>
      <w:r w:rsidRPr="00CE2DE3">
        <w:rPr>
          <w:rFonts w:cs="Arial"/>
          <w:bCs/>
        </w:rPr>
        <w:t xml:space="preserve"> a </w:t>
      </w:r>
      <w:r w:rsidRPr="00CE2DE3">
        <w:rPr>
          <w:rFonts w:cs="Arial"/>
          <w:b/>
          <w:bCs/>
        </w:rPr>
        <w:t>její meziroční dynamika růstu se zvýšila</w:t>
      </w:r>
      <w:r w:rsidRPr="00CE2DE3">
        <w:rPr>
          <w:rFonts w:cs="Arial"/>
          <w:bCs/>
        </w:rPr>
        <w:t xml:space="preserve"> o 0,9 p. b. </w:t>
      </w:r>
      <w:r w:rsidRPr="00CE2DE3">
        <w:rPr>
          <w:rFonts w:cs="Arial"/>
          <w:b/>
          <w:bCs/>
        </w:rPr>
        <w:t>na 3,2 %</w:t>
      </w:r>
      <w:r w:rsidRPr="00CE2DE3">
        <w:rPr>
          <w:rFonts w:cs="Arial"/>
          <w:bCs/>
        </w:rPr>
        <w:t xml:space="preserve">; po zohlednění nárůstu cenové inflace </w:t>
      </w:r>
      <w:r w:rsidRPr="00CE2DE3">
        <w:rPr>
          <w:rFonts w:cs="Arial"/>
          <w:b/>
          <w:bCs/>
        </w:rPr>
        <w:t xml:space="preserve">došlo </w:t>
      </w:r>
      <w:r w:rsidRPr="00CE2DE3">
        <w:rPr>
          <w:rFonts w:cs="Arial"/>
          <w:b/>
          <w:bCs/>
        </w:rPr>
        <w:lastRenderedPageBreak/>
        <w:t>k posílení reálné úrovně průměrné mzdy o 2,8 %,</w:t>
      </w:r>
      <w:r w:rsidRPr="00CE2DE3">
        <w:rPr>
          <w:rFonts w:cs="Arial"/>
          <w:bCs/>
        </w:rPr>
        <w:t xml:space="preserve"> což je nejvyšší nárůst od roku 2007 (ve srovnatelném období),</w:t>
      </w:r>
    </w:p>
    <w:p w:rsidR="00825245" w:rsidRPr="00CE2DE3" w:rsidRDefault="00825245" w:rsidP="00825245">
      <w:pPr>
        <w:numPr>
          <w:ilvl w:val="0"/>
          <w:numId w:val="29"/>
        </w:numPr>
        <w:spacing w:after="240" w:line="360" w:lineRule="auto"/>
        <w:ind w:left="720"/>
        <w:jc w:val="both"/>
      </w:pPr>
      <w:r w:rsidRPr="00CE2DE3">
        <w:rPr>
          <w:rFonts w:cs="Arial"/>
        </w:rPr>
        <w:t>celkový</w:t>
      </w:r>
      <w:r w:rsidRPr="00CE2DE3">
        <w:rPr>
          <w:rFonts w:cs="Arial"/>
          <w:b/>
        </w:rPr>
        <w:t xml:space="preserve"> objem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>sociálních příjmů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>dosáhl</w:t>
      </w:r>
      <w:r w:rsidRPr="00CE2DE3">
        <w:rPr>
          <w:rFonts w:cs="Arial"/>
        </w:rPr>
        <w:t xml:space="preserve"> částky </w:t>
      </w:r>
      <w:r w:rsidRPr="00CE2DE3">
        <w:rPr>
          <w:rFonts w:cs="Arial"/>
          <w:b/>
        </w:rPr>
        <w:t xml:space="preserve">357,6 mld. Kč a převýšil skutečnost stejného období roku 2014 o 8,0 mld. Kč, </w:t>
      </w:r>
      <w:r w:rsidRPr="00CE2DE3">
        <w:rPr>
          <w:rFonts w:cs="Arial"/>
        </w:rPr>
        <w:t>tj.</w:t>
      </w:r>
      <w:r w:rsidRPr="00CE2DE3">
        <w:rPr>
          <w:rFonts w:cs="Arial"/>
          <w:b/>
        </w:rPr>
        <w:t xml:space="preserve"> </w:t>
      </w:r>
      <w:r w:rsidRPr="00CE2DE3">
        <w:rPr>
          <w:rFonts w:cs="Arial"/>
        </w:rPr>
        <w:t xml:space="preserve">o 2,3 % </w:t>
      </w:r>
      <w:r w:rsidRPr="00CE2DE3">
        <w:rPr>
          <w:rFonts w:cs="Arial"/>
          <w:szCs w:val="24"/>
        </w:rPr>
        <w:t xml:space="preserve">nominálně a o 1,9 % reálně. </w:t>
      </w:r>
      <w:r w:rsidRPr="00CE2DE3">
        <w:rPr>
          <w:rFonts w:cs="Arial"/>
          <w:b/>
        </w:rPr>
        <w:t>Pokles</w:t>
      </w:r>
      <w:r w:rsidRPr="00CE2DE3">
        <w:rPr>
          <w:rFonts w:cs="Arial"/>
        </w:rPr>
        <w:t xml:space="preserve"> byl zaznamenán u</w:t>
      </w:r>
      <w:r w:rsidRPr="00CE2DE3">
        <w:rPr>
          <w:rFonts w:cs="Arial"/>
          <w:b/>
        </w:rPr>
        <w:t xml:space="preserve"> podpor v nezaměstnanosti </w:t>
      </w:r>
      <w:r w:rsidRPr="00F111C6">
        <w:rPr>
          <w:rFonts w:cs="Arial"/>
        </w:rPr>
        <w:t>a </w:t>
      </w:r>
      <w:r w:rsidRPr="00CE2DE3">
        <w:rPr>
          <w:rFonts w:cs="Arial"/>
          <w:b/>
        </w:rPr>
        <w:t>dávek pomoci v hmotné nouzi. Příjmy občanů z ostatních druhů sociálních dávek se zvýšily</w:t>
      </w:r>
      <w:r w:rsidRPr="00CE2DE3">
        <w:rPr>
          <w:b/>
        </w:rPr>
        <w:t>,</w:t>
      </w:r>
    </w:p>
    <w:p w:rsidR="00825245" w:rsidRPr="00CE2DE3" w:rsidRDefault="00825245" w:rsidP="00825245">
      <w:pPr>
        <w:numPr>
          <w:ilvl w:val="0"/>
          <w:numId w:val="29"/>
        </w:numPr>
        <w:spacing w:after="240" w:line="360" w:lineRule="auto"/>
        <w:ind w:left="720"/>
        <w:jc w:val="both"/>
      </w:pPr>
      <w:r w:rsidRPr="00CE2DE3">
        <w:rPr>
          <w:b/>
          <w:bCs/>
        </w:rPr>
        <w:t>průměrná výše</w:t>
      </w:r>
      <w:r w:rsidRPr="00CE2DE3">
        <w:t xml:space="preserve"> (samostatně vypláceného) starobního </w:t>
      </w:r>
      <w:r w:rsidRPr="00CE2DE3">
        <w:rPr>
          <w:b/>
          <w:bCs/>
        </w:rPr>
        <w:t>důchodu byla meziročně vyšší</w:t>
      </w:r>
      <w:r w:rsidRPr="00CE2DE3">
        <w:t xml:space="preserve"> </w:t>
      </w:r>
      <w:r w:rsidRPr="00CE2DE3">
        <w:rPr>
          <w:b/>
        </w:rPr>
        <w:t>o 2,4 %</w:t>
      </w:r>
      <w:r w:rsidRPr="00CE2DE3">
        <w:t xml:space="preserve"> (nárůst na </w:t>
      </w:r>
      <w:r w:rsidRPr="00CE2DE3">
        <w:rPr>
          <w:b/>
          <w:bCs/>
        </w:rPr>
        <w:t>11 322 Kč</w:t>
      </w:r>
      <w:r w:rsidRPr="00CE2DE3">
        <w:rPr>
          <w:bCs/>
        </w:rPr>
        <w:t>)</w:t>
      </w:r>
      <w:r w:rsidRPr="00CE2DE3">
        <w:t>, jeho reálná hodnota se zvýšila o 2,3 % (při použití indexu životních nákladů domácností důchodců 100,1 %),</w:t>
      </w:r>
    </w:p>
    <w:p w:rsidR="00825245" w:rsidRPr="00CE2DE3" w:rsidRDefault="00825245" w:rsidP="00825245">
      <w:pPr>
        <w:numPr>
          <w:ilvl w:val="0"/>
          <w:numId w:val="29"/>
        </w:numPr>
        <w:tabs>
          <w:tab w:val="left" w:pos="6435"/>
        </w:tabs>
        <w:spacing w:after="240" w:line="360" w:lineRule="auto"/>
        <w:ind w:left="720"/>
        <w:jc w:val="both"/>
      </w:pPr>
      <w:r w:rsidRPr="00CE2DE3">
        <w:t>při poklesu</w:t>
      </w:r>
      <w:r w:rsidRPr="00CE2DE3">
        <w:rPr>
          <w:bCs/>
        </w:rPr>
        <w:t xml:space="preserve"> počtu evidovaných nezaměstnaných s nárokem na podporu se </w:t>
      </w:r>
      <w:r w:rsidRPr="00CE2DE3">
        <w:rPr>
          <w:b/>
          <w:bCs/>
        </w:rPr>
        <w:t>průměrná výše podpory v nezaměstnanosti</w:t>
      </w:r>
      <w:r w:rsidRPr="00CE2DE3">
        <w:rPr>
          <w:bCs/>
        </w:rPr>
        <w:t xml:space="preserve"> meziročně zvýšila o 3,6 % na </w:t>
      </w:r>
      <w:r w:rsidRPr="00CE2DE3">
        <w:rPr>
          <w:b/>
          <w:bCs/>
        </w:rPr>
        <w:t>6 129 Kč</w:t>
      </w:r>
      <w:r w:rsidRPr="00CE2DE3">
        <w:rPr>
          <w:bCs/>
        </w:rPr>
        <w:t xml:space="preserve"> měsíčně,</w:t>
      </w:r>
    </w:p>
    <w:p w:rsidR="00825245" w:rsidRPr="00CE2DE3" w:rsidRDefault="00825245" w:rsidP="00825245">
      <w:pPr>
        <w:numPr>
          <w:ilvl w:val="0"/>
          <w:numId w:val="29"/>
        </w:numPr>
        <w:spacing w:after="240" w:line="360" w:lineRule="auto"/>
        <w:ind w:left="720"/>
        <w:jc w:val="both"/>
      </w:pPr>
      <w:r w:rsidRPr="00CE2DE3">
        <w:t xml:space="preserve">nadále nízký byl meziroční průměrný růst spotřebitelských cen (cenové inflace) o 0,4 %, přispěl k tomu nejvíce poměrně příznivý vývoj cen v rozhodujících skupinách spotřeby, tj. bydlení, výživa, doprava a zdraví; </w:t>
      </w:r>
      <w:r w:rsidRPr="00CE2DE3">
        <w:rPr>
          <w:b/>
        </w:rPr>
        <w:t>příčinou</w:t>
      </w:r>
      <w:r w:rsidRPr="00CE2DE3">
        <w:t xml:space="preserve"> nadále relativně nízkého cenového pohybu </w:t>
      </w:r>
      <w:r w:rsidRPr="00CE2DE3">
        <w:rPr>
          <w:b/>
        </w:rPr>
        <w:t>byl</w:t>
      </w:r>
      <w:r w:rsidRPr="00CE2DE3">
        <w:t xml:space="preserve"> lednový jen </w:t>
      </w:r>
      <w:r w:rsidRPr="00CE2DE3">
        <w:rPr>
          <w:b/>
        </w:rPr>
        <w:t xml:space="preserve">nepatrný nárůst regulovaných cen, </w:t>
      </w:r>
      <w:r w:rsidRPr="00CE2DE3">
        <w:t>(při stagnaci cen elektřiny vzrostly ceny vodného, stočného a tepla)</w:t>
      </w:r>
      <w:r w:rsidRPr="00CE2DE3">
        <w:rPr>
          <w:b/>
        </w:rPr>
        <w:t xml:space="preserve"> a nevýrazný pohyb cen všech tržních komodit </w:t>
      </w:r>
      <w:r w:rsidRPr="00CE2DE3">
        <w:t>(s výjimkou propadu pohonných hmot)</w:t>
      </w:r>
      <w:r w:rsidRPr="00CE2DE3">
        <w:rPr>
          <w:b/>
        </w:rPr>
        <w:t xml:space="preserve"> </w:t>
      </w:r>
      <w:r w:rsidRPr="00CE2DE3">
        <w:t>–</w:t>
      </w:r>
      <w:r w:rsidRPr="00CE2DE3">
        <w:rPr>
          <w:b/>
        </w:rPr>
        <w:t xml:space="preserve"> </w:t>
      </w:r>
      <w:r w:rsidRPr="00CE2DE3">
        <w:t>blíže viz část 2.,</w:t>
      </w:r>
    </w:p>
    <w:p w:rsidR="00825245" w:rsidRPr="00CE2DE3" w:rsidRDefault="00825245" w:rsidP="00825245">
      <w:pPr>
        <w:numPr>
          <w:ilvl w:val="0"/>
          <w:numId w:val="30"/>
        </w:numPr>
        <w:spacing w:after="240" w:line="360" w:lineRule="auto"/>
        <w:ind w:left="720"/>
        <w:jc w:val="both"/>
      </w:pPr>
      <w:r w:rsidRPr="00CE2DE3">
        <w:rPr>
          <w:b/>
        </w:rPr>
        <w:t>situace ve vývoji výdajů</w:t>
      </w:r>
      <w:r w:rsidRPr="00CE2DE3">
        <w:t xml:space="preserve"> </w:t>
      </w:r>
      <w:r w:rsidRPr="00CE2DE3">
        <w:rPr>
          <w:bCs/>
        </w:rPr>
        <w:t xml:space="preserve">domácností se </w:t>
      </w:r>
      <w:r w:rsidRPr="00CE2DE3">
        <w:rPr>
          <w:b/>
        </w:rPr>
        <w:t xml:space="preserve">významněji nezměnila </w:t>
      </w:r>
      <w:r w:rsidRPr="00CE2DE3">
        <w:t>– domácnosti svá spotřební vydání realizovaly i v období hospodářského oživení velice opatrně</w:t>
      </w:r>
      <w:r w:rsidRPr="00CE2DE3">
        <w:rPr>
          <w:b/>
        </w:rPr>
        <w:t xml:space="preserve"> </w:t>
      </w:r>
      <w:r w:rsidRPr="00CE2DE3">
        <w:t>a jejich dynamika byla stále nižší než tomu bylo u příjmů</w:t>
      </w:r>
      <w:r w:rsidRPr="00CE2DE3">
        <w:rPr>
          <w:bCs/>
        </w:rPr>
        <w:t xml:space="preserve">: jeden </w:t>
      </w:r>
      <w:r w:rsidRPr="00CE2DE3">
        <w:rPr>
          <w:b/>
          <w:bCs/>
        </w:rPr>
        <w:t>člen souboru</w:t>
      </w:r>
      <w:r w:rsidRPr="00CE2DE3">
        <w:rPr>
          <w:bCs/>
        </w:rPr>
        <w:t xml:space="preserve"> statistiky rodinných účtů </w:t>
      </w:r>
      <w:r w:rsidRPr="00CE2DE3">
        <w:rPr>
          <w:b/>
          <w:bCs/>
        </w:rPr>
        <w:t xml:space="preserve">vydal za zboží a služby </w:t>
      </w:r>
      <w:r w:rsidRPr="00CE2DE3">
        <w:rPr>
          <w:bCs/>
        </w:rPr>
        <w:t>(celkem)</w:t>
      </w:r>
      <w:r w:rsidRPr="00CE2DE3">
        <w:rPr>
          <w:b/>
          <w:bCs/>
        </w:rPr>
        <w:t xml:space="preserve"> měsíčně</w:t>
      </w:r>
      <w:r w:rsidRPr="00CE2DE3">
        <w:rPr>
          <w:bCs/>
        </w:rPr>
        <w:t xml:space="preserve"> v průměru </w:t>
      </w:r>
      <w:r w:rsidRPr="00CE2DE3">
        <w:rPr>
          <w:b/>
          <w:bCs/>
        </w:rPr>
        <w:t>10 712 Kč</w:t>
      </w:r>
      <w:r w:rsidRPr="00CE2DE3">
        <w:rPr>
          <w:bCs/>
        </w:rPr>
        <w:t xml:space="preserve"> (nominálně o 0,5 % více než před rokem) – podrobněji viz část 3.</w:t>
      </w:r>
      <w:r w:rsidRPr="00CE2DE3">
        <w:t>,</w:t>
      </w:r>
    </w:p>
    <w:p w:rsidR="00825245" w:rsidRPr="00CE2DE3" w:rsidRDefault="00825245" w:rsidP="00825245">
      <w:pPr>
        <w:numPr>
          <w:ilvl w:val="0"/>
          <w:numId w:val="30"/>
        </w:numPr>
        <w:spacing w:after="240" w:line="360" w:lineRule="auto"/>
        <w:ind w:left="720"/>
        <w:jc w:val="both"/>
      </w:pPr>
      <w:r w:rsidRPr="00CE2DE3">
        <w:rPr>
          <w:b/>
          <w:bCs/>
        </w:rPr>
        <w:t xml:space="preserve">celkový objem půjček domácností u bank </w:t>
      </w:r>
      <w:r w:rsidRPr="00CE2DE3">
        <w:rPr>
          <w:bCs/>
        </w:rPr>
        <w:t xml:space="preserve">se meziročně zvýšil o 85,3 mld. Kč a k 30. 9. 2015 </w:t>
      </w:r>
      <w:r w:rsidRPr="00CE2DE3">
        <w:rPr>
          <w:b/>
          <w:bCs/>
        </w:rPr>
        <w:t>dosáhl 1 300,2 mld. Kč;</w:t>
      </w:r>
      <w:r w:rsidRPr="00CE2DE3">
        <w:t xml:space="preserve"> </w:t>
      </w:r>
      <w:r w:rsidRPr="00CE2DE3">
        <w:rPr>
          <w:b/>
        </w:rPr>
        <w:t>rozhodující část</w:t>
      </w:r>
      <w:r w:rsidRPr="00CE2DE3">
        <w:t xml:space="preserve"> </w:t>
      </w:r>
      <w:r w:rsidRPr="00CE2DE3">
        <w:lastRenderedPageBreak/>
        <w:t>nadále</w:t>
      </w:r>
      <w:r w:rsidRPr="00CE2DE3">
        <w:rPr>
          <w:bCs/>
        </w:rPr>
        <w:t xml:space="preserve"> </w:t>
      </w:r>
      <w:r w:rsidRPr="00CE2DE3">
        <w:rPr>
          <w:b/>
          <w:bCs/>
        </w:rPr>
        <w:t>představovaly</w:t>
      </w:r>
      <w:r w:rsidRPr="00CE2DE3">
        <w:rPr>
          <w:bCs/>
        </w:rPr>
        <w:t xml:space="preserve"> </w:t>
      </w:r>
      <w:r w:rsidRPr="00CE2DE3">
        <w:rPr>
          <w:b/>
          <w:bCs/>
        </w:rPr>
        <w:t xml:space="preserve">hypoteční a jiné úvěry na bydlení </w:t>
      </w:r>
      <w:r w:rsidRPr="00CE2DE3">
        <w:rPr>
          <w:bCs/>
        </w:rPr>
        <w:t>(přírůstek 64,6 mld. Kč, tj. o 7,3 % meziročně)</w:t>
      </w:r>
      <w:r w:rsidRPr="00CE2DE3">
        <w:t>,</w:t>
      </w:r>
    </w:p>
    <w:p w:rsidR="00825245" w:rsidRPr="00CE2DE3" w:rsidRDefault="00825245" w:rsidP="00825245">
      <w:pPr>
        <w:numPr>
          <w:ilvl w:val="0"/>
          <w:numId w:val="29"/>
        </w:numPr>
        <w:spacing w:line="360" w:lineRule="auto"/>
        <w:ind w:left="720"/>
        <w:jc w:val="both"/>
      </w:pPr>
      <w:r w:rsidRPr="00CE2DE3">
        <w:t xml:space="preserve">ke konci září 2015 činila celková </w:t>
      </w:r>
      <w:r w:rsidRPr="00CE2DE3">
        <w:rPr>
          <w:b/>
          <w:bCs/>
        </w:rPr>
        <w:t>výše</w:t>
      </w:r>
      <w:r w:rsidRPr="00CE2DE3">
        <w:t xml:space="preserve"> bankovních </w:t>
      </w:r>
      <w:r w:rsidRPr="00CE2DE3">
        <w:rPr>
          <w:b/>
          <w:bCs/>
        </w:rPr>
        <w:t xml:space="preserve">úspor domácností </w:t>
      </w:r>
      <w:r w:rsidRPr="00CE2DE3">
        <w:t xml:space="preserve">podle dostupných údajů ČNB </w:t>
      </w:r>
      <w:r w:rsidRPr="00CE2DE3">
        <w:rPr>
          <w:b/>
          <w:bCs/>
        </w:rPr>
        <w:t xml:space="preserve">1 983,2 mld. Kč; </w:t>
      </w:r>
      <w:r w:rsidRPr="00CE2DE3">
        <w:t xml:space="preserve">domácnosti posílily zejména netermínovaná depozita </w:t>
      </w:r>
      <w:r w:rsidRPr="00CE2DE3">
        <w:rPr>
          <w:bCs/>
        </w:rPr>
        <w:t xml:space="preserve">(meziroční přírůstek 146,3 mld. Kč) </w:t>
      </w:r>
      <w:r w:rsidRPr="00CE2DE3">
        <w:t>při dalším propadu termínovaných vkladů.</w:t>
      </w:r>
    </w:p>
    <w:p w:rsidR="00825245" w:rsidRPr="00CE2DE3" w:rsidRDefault="00825245" w:rsidP="00825245">
      <w:pPr>
        <w:spacing w:line="360" w:lineRule="auto"/>
        <w:jc w:val="both"/>
        <w:rPr>
          <w:b/>
          <w:bCs/>
        </w:rPr>
      </w:pPr>
    </w:p>
    <w:p w:rsidR="00825245" w:rsidRPr="00CE2DE3" w:rsidRDefault="00825245" w:rsidP="00825245">
      <w:pPr>
        <w:spacing w:line="360" w:lineRule="auto"/>
        <w:jc w:val="both"/>
        <w:rPr>
          <w:b/>
          <w:bCs/>
        </w:rPr>
      </w:pPr>
    </w:p>
    <w:p w:rsidR="00825245" w:rsidRPr="00CE2DE3" w:rsidRDefault="00825245" w:rsidP="00825245">
      <w:pPr>
        <w:jc w:val="center"/>
        <w:rPr>
          <w:i/>
          <w:iCs/>
          <w:sz w:val="48"/>
        </w:rPr>
      </w:pPr>
      <w:r w:rsidRPr="00CE2DE3">
        <w:rPr>
          <w:i/>
          <w:iCs/>
          <w:sz w:val="48"/>
        </w:rPr>
        <w:t>*</w:t>
      </w:r>
      <w:r w:rsidRPr="00CE2DE3">
        <w:rPr>
          <w:i/>
          <w:iCs/>
          <w:sz w:val="48"/>
        </w:rPr>
        <w:tab/>
      </w:r>
      <w:r w:rsidRPr="00CE2DE3">
        <w:rPr>
          <w:i/>
          <w:iCs/>
          <w:sz w:val="48"/>
        </w:rPr>
        <w:tab/>
        <w:t>*</w:t>
      </w:r>
      <w:r w:rsidRPr="00CE2DE3">
        <w:rPr>
          <w:i/>
          <w:iCs/>
          <w:sz w:val="48"/>
        </w:rPr>
        <w:tab/>
      </w:r>
      <w:r w:rsidRPr="00CE2DE3">
        <w:rPr>
          <w:i/>
          <w:iCs/>
          <w:sz w:val="48"/>
        </w:rPr>
        <w:tab/>
        <w:t>*</w:t>
      </w:r>
    </w:p>
    <w:p w:rsidR="00825245" w:rsidRPr="00CE2DE3" w:rsidRDefault="00825245" w:rsidP="00825245">
      <w:pPr>
        <w:spacing w:line="360" w:lineRule="auto"/>
        <w:jc w:val="both"/>
      </w:pPr>
    </w:p>
    <w:p w:rsidR="00825245" w:rsidRPr="00CE2DE3" w:rsidRDefault="00825245" w:rsidP="00825245">
      <w:pPr>
        <w:spacing w:line="360" w:lineRule="auto"/>
        <w:jc w:val="both"/>
      </w:pPr>
    </w:p>
    <w:p w:rsidR="00825245" w:rsidRPr="00CE2DE3" w:rsidRDefault="00825245" w:rsidP="00825245">
      <w:pPr>
        <w:spacing w:line="360" w:lineRule="auto"/>
        <w:jc w:val="both"/>
        <w:rPr>
          <w:i/>
          <w:iCs/>
        </w:rPr>
      </w:pPr>
      <w:r w:rsidRPr="00CE2DE3">
        <w:tab/>
      </w:r>
      <w:r w:rsidRPr="00CE2DE3">
        <w:rPr>
          <w:i/>
          <w:iCs/>
        </w:rPr>
        <w:t>Zpráva přináší v dalších částech základní charakteristiku a hodnocení souvislostí, které v lednu – září 2015 ovlivňovaly vývoj příjmů a výdajů domácností v České republice. Jejím hlavním cílem je vyjádřit především rozhodující tendence ve vývoji základních (dostupných) ukazatelů životní úrovně českých domácností.</w:t>
      </w:r>
    </w:p>
    <w:p w:rsidR="00825245" w:rsidRPr="00CE2DE3" w:rsidRDefault="00825245" w:rsidP="00825245">
      <w:pPr>
        <w:spacing w:line="360" w:lineRule="auto"/>
        <w:jc w:val="both"/>
        <w:rPr>
          <w:i/>
          <w:iCs/>
        </w:rPr>
      </w:pPr>
    </w:p>
    <w:p w:rsidR="00825245" w:rsidRPr="00CE2DE3" w:rsidRDefault="00825245" w:rsidP="00825245">
      <w:pPr>
        <w:spacing w:line="360" w:lineRule="auto"/>
        <w:jc w:val="both"/>
        <w:rPr>
          <w:i/>
          <w:iCs/>
        </w:rPr>
      </w:pPr>
      <w:r w:rsidRPr="00CE2DE3">
        <w:rPr>
          <w:i/>
          <w:iCs/>
        </w:rPr>
        <w:tab/>
        <w:t>Je třeba upozornit na skutečnost, že statistika rodinných účtů (použitá v analýze) je především výdajovou statistikou, údaje za příjmy jsou rodinnými účty sledovány jen doplňkově – přesto jsou (vzhledem k absenci jiných aktuálních údajů) jediným zdrojem dat pro základní (obecnější) hodnocení v konkrétním období. Výsledky statistiky rodinných účtů jsou rovněž významné pro kvalifikované odhady dopadů různých vládních opatření (daně, regulace cen, restrikce příjmů apod.) na sociální politiku státu, což platí i pro statistiku spotřebitelských cen.</w:t>
      </w:r>
    </w:p>
    <w:p w:rsidR="00825245" w:rsidRPr="00CE2DE3" w:rsidRDefault="00825245" w:rsidP="00825245">
      <w:pPr>
        <w:spacing w:line="360" w:lineRule="auto"/>
        <w:jc w:val="both"/>
        <w:rPr>
          <w:i/>
          <w:iCs/>
        </w:rPr>
      </w:pPr>
    </w:p>
    <w:p w:rsidR="00825245" w:rsidRPr="00CE2DE3" w:rsidRDefault="00825245" w:rsidP="00825245">
      <w:pPr>
        <w:spacing w:line="360" w:lineRule="auto"/>
        <w:jc w:val="both"/>
        <w:rPr>
          <w:i/>
          <w:iCs/>
        </w:rPr>
      </w:pPr>
      <w:r w:rsidRPr="00CE2DE3">
        <w:rPr>
          <w:i/>
          <w:iCs/>
        </w:rPr>
        <w:tab/>
        <w:t>Podrobnější zhodnocení vývoje bude předmětem analýzy těchto atributů za celý rok 2015, která bude předložena vládě koncem dubna letošního roku.</w:t>
      </w:r>
    </w:p>
    <w:p w:rsidR="00825245" w:rsidRPr="00CE2DE3" w:rsidRDefault="00825245" w:rsidP="00825245">
      <w:pPr>
        <w:spacing w:line="360" w:lineRule="auto"/>
        <w:jc w:val="both"/>
        <w:rPr>
          <w:i/>
          <w:iCs/>
        </w:rPr>
      </w:pPr>
    </w:p>
    <w:p w:rsidR="00825245" w:rsidRPr="00CE2DE3" w:rsidRDefault="00825245" w:rsidP="00825245">
      <w:pPr>
        <w:spacing w:line="360" w:lineRule="auto"/>
        <w:jc w:val="both"/>
        <w:rPr>
          <w:i/>
          <w:iCs/>
        </w:rPr>
      </w:pPr>
      <w:r w:rsidRPr="00CE2DE3">
        <w:rPr>
          <w:i/>
          <w:iCs/>
        </w:rPr>
        <w:tab/>
        <w:t>Při zpracování materiálu byla použita zejména data a analýzy: MPSV, ČSÚ, MF ČR, ČNB, ČSSZ, TREXIMA a odborného a periodického tisku.</w:t>
      </w:r>
    </w:p>
    <w:p w:rsidR="00825245" w:rsidRPr="00CE2DE3" w:rsidRDefault="00825245" w:rsidP="00825245">
      <w:pPr>
        <w:spacing w:line="360" w:lineRule="auto"/>
        <w:jc w:val="both"/>
        <w:rPr>
          <w:i/>
          <w:iCs/>
        </w:rPr>
      </w:pPr>
    </w:p>
    <w:p w:rsidR="00825245" w:rsidRPr="00CE2DE3" w:rsidRDefault="00825245" w:rsidP="00825245">
      <w:pPr>
        <w:spacing w:line="360" w:lineRule="auto"/>
        <w:jc w:val="both"/>
        <w:rPr>
          <w:i/>
          <w:iCs/>
        </w:rPr>
      </w:pPr>
    </w:p>
    <w:p w:rsidR="00825245" w:rsidRPr="00CE2DE3" w:rsidRDefault="00825245" w:rsidP="00825245">
      <w:pPr>
        <w:spacing w:line="360" w:lineRule="auto"/>
        <w:jc w:val="both"/>
        <w:rPr>
          <w:i/>
          <w:iCs/>
        </w:rPr>
      </w:pPr>
    </w:p>
    <w:p w:rsidR="00825245" w:rsidRPr="00CE2DE3" w:rsidRDefault="00825245" w:rsidP="00825245">
      <w:pPr>
        <w:spacing w:line="360" w:lineRule="auto"/>
        <w:jc w:val="both"/>
        <w:rPr>
          <w:i/>
          <w:iCs/>
          <w:u w:val="single"/>
        </w:rPr>
      </w:pPr>
      <w:r w:rsidRPr="00CE2DE3">
        <w:rPr>
          <w:i/>
          <w:iCs/>
          <w:u w:val="single"/>
        </w:rPr>
        <w:t>Zpráva obsahuje data platná k 15. lednu 2016.</w:t>
      </w:r>
    </w:p>
    <w:p w:rsidR="00790329" w:rsidRPr="00CE2DE3" w:rsidRDefault="00790329" w:rsidP="00790329">
      <w:pPr>
        <w:pStyle w:val="Nadpis1"/>
        <w:numPr>
          <w:ilvl w:val="0"/>
          <w:numId w:val="0"/>
        </w:numPr>
        <w:spacing w:line="240" w:lineRule="auto"/>
      </w:pPr>
      <w:r w:rsidRPr="00CE2DE3">
        <w:lastRenderedPageBreak/>
        <w:t>1. Příjmy domácností</w:t>
      </w:r>
    </w:p>
    <w:p w:rsidR="007A3740" w:rsidRPr="00CE2DE3" w:rsidRDefault="007A3740" w:rsidP="00790329">
      <w:pPr>
        <w:spacing w:line="360" w:lineRule="auto"/>
        <w:rPr>
          <w:b/>
          <w:bCs/>
          <w:i/>
          <w:iCs/>
          <w:sz w:val="32"/>
        </w:rPr>
      </w:pPr>
    </w:p>
    <w:p w:rsidR="00790329" w:rsidRPr="00CE2DE3" w:rsidRDefault="00790329" w:rsidP="00790329">
      <w:pPr>
        <w:spacing w:line="360" w:lineRule="auto"/>
        <w:rPr>
          <w:b/>
          <w:bCs/>
          <w:i/>
          <w:iCs/>
          <w:sz w:val="32"/>
        </w:rPr>
      </w:pPr>
      <w:r w:rsidRPr="00CE2DE3">
        <w:rPr>
          <w:b/>
          <w:bCs/>
          <w:i/>
          <w:iCs/>
          <w:sz w:val="32"/>
        </w:rPr>
        <w:t>1. 1 Základní charakteristika</w:t>
      </w:r>
    </w:p>
    <w:p w:rsidR="007A3740" w:rsidRPr="00CE2DE3" w:rsidRDefault="007A3740" w:rsidP="00790329">
      <w:pPr>
        <w:spacing w:line="360" w:lineRule="auto"/>
        <w:jc w:val="both"/>
      </w:pPr>
    </w:p>
    <w:p w:rsidR="007A3740" w:rsidRPr="00CE2DE3" w:rsidRDefault="007A3740" w:rsidP="00790329">
      <w:pPr>
        <w:spacing w:line="360" w:lineRule="auto"/>
        <w:jc w:val="both"/>
      </w:pPr>
    </w:p>
    <w:p w:rsidR="00790329" w:rsidRPr="00CE2DE3" w:rsidRDefault="00790329" w:rsidP="00790329">
      <w:pPr>
        <w:spacing w:line="360" w:lineRule="auto"/>
        <w:jc w:val="both"/>
        <w:rPr>
          <w:rFonts w:cs="Arial"/>
        </w:rPr>
      </w:pPr>
      <w:r w:rsidRPr="00CE2DE3">
        <w:tab/>
      </w:r>
      <w:r w:rsidRPr="00CE2DE3">
        <w:rPr>
          <w:rFonts w:cs="Arial"/>
          <w:b/>
          <w:bCs/>
        </w:rPr>
        <w:t xml:space="preserve">Běžné příjmy </w:t>
      </w:r>
      <w:r w:rsidRPr="00CE2DE3">
        <w:rPr>
          <w:rFonts w:cs="Arial"/>
        </w:rPr>
        <w:t>sektoru domácností</w:t>
      </w:r>
      <w:r w:rsidRPr="00CE2DE3">
        <w:rPr>
          <w:rFonts w:cs="Arial"/>
          <w:b/>
          <w:bCs/>
        </w:rPr>
        <w:t xml:space="preserve"> </w:t>
      </w:r>
      <w:r w:rsidRPr="00CE2DE3">
        <w:rPr>
          <w:rFonts w:cs="Arial"/>
        </w:rPr>
        <w:t>(podle statistiky národních účtů)</w:t>
      </w:r>
      <w:r w:rsidRPr="00CE2DE3">
        <w:rPr>
          <w:rFonts w:cs="Arial"/>
          <w:b/>
          <w:bCs/>
        </w:rPr>
        <w:t xml:space="preserve"> dosáhly </w:t>
      </w:r>
      <w:r w:rsidRPr="00CE2DE3">
        <w:rPr>
          <w:rFonts w:cs="Arial"/>
        </w:rPr>
        <w:t xml:space="preserve">celkové </w:t>
      </w:r>
      <w:r w:rsidRPr="00CE2DE3">
        <w:rPr>
          <w:rFonts w:cs="Arial"/>
          <w:b/>
          <w:bCs/>
        </w:rPr>
        <w:t>výše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  <w:bCs/>
        </w:rPr>
        <w:t>2 483,8 mld. Kč.</w:t>
      </w:r>
      <w:r w:rsidRPr="00CE2DE3">
        <w:rPr>
          <w:rFonts w:cs="Arial"/>
        </w:rPr>
        <w:t xml:space="preserve"> Meziročně tak </w:t>
      </w:r>
      <w:r w:rsidRPr="00CE2DE3">
        <w:rPr>
          <w:rFonts w:cs="Arial"/>
          <w:b/>
        </w:rPr>
        <w:t>vzrostly</w:t>
      </w:r>
      <w:r w:rsidRPr="00CE2DE3">
        <w:rPr>
          <w:rFonts w:cs="Arial"/>
          <w:b/>
          <w:bCs/>
        </w:rPr>
        <w:t xml:space="preserve"> nominálně o 3,0 % </w:t>
      </w:r>
      <w:r w:rsidRPr="00CE2DE3">
        <w:rPr>
          <w:rFonts w:cs="Arial"/>
          <w:bCs/>
        </w:rPr>
        <w:t xml:space="preserve">(+72,8 mld. Kč) </w:t>
      </w:r>
      <w:r w:rsidRPr="00CE2DE3">
        <w:rPr>
          <w:rFonts w:cs="Arial"/>
          <w:b/>
          <w:bCs/>
        </w:rPr>
        <w:t>a reálně o 2,6 %</w:t>
      </w:r>
      <w:r w:rsidRPr="00CE2DE3">
        <w:rPr>
          <w:rFonts w:cs="Arial"/>
          <w:bCs/>
        </w:rPr>
        <w:t xml:space="preserve"> (při růstu hrubého domácího produktu ve stálých cenách o 4,5 %)</w:t>
      </w:r>
      <w:r w:rsidRPr="00CE2DE3">
        <w:rPr>
          <w:rFonts w:cs="Arial"/>
        </w:rPr>
        <w:t>.</w:t>
      </w:r>
    </w:p>
    <w:p w:rsidR="00790329" w:rsidRPr="00CE2DE3" w:rsidRDefault="00790329" w:rsidP="00790329">
      <w:pPr>
        <w:rPr>
          <w:rFonts w:cs="Arial"/>
          <w:sz w:val="28"/>
        </w:rPr>
      </w:pPr>
    </w:p>
    <w:p w:rsidR="00790329" w:rsidRPr="00CE2DE3" w:rsidRDefault="00790329" w:rsidP="00790329">
      <w:pPr>
        <w:rPr>
          <w:rFonts w:cs="Arial"/>
          <w:sz w:val="28"/>
        </w:rPr>
      </w:pPr>
    </w:p>
    <w:p w:rsidR="00790329" w:rsidRPr="00CE2DE3" w:rsidRDefault="00790329" w:rsidP="00790329">
      <w:pPr>
        <w:ind w:left="708"/>
        <w:jc w:val="both"/>
        <w:rPr>
          <w:rFonts w:cs="Arial"/>
        </w:rPr>
      </w:pPr>
      <w:r w:rsidRPr="00CE2DE3">
        <w:rPr>
          <w:rFonts w:cs="Arial"/>
          <w:b/>
          <w:bCs/>
        </w:rPr>
        <w:t>Na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  <w:bCs/>
        </w:rPr>
        <w:t>reálném růstu</w:t>
      </w:r>
      <w:r w:rsidRPr="00CE2DE3">
        <w:rPr>
          <w:rFonts w:cs="Arial"/>
        </w:rPr>
        <w:t xml:space="preserve"> úhrnného objemu</w:t>
      </w:r>
      <w:r w:rsidRPr="00CE2DE3">
        <w:rPr>
          <w:rFonts w:cs="Arial"/>
          <w:b/>
          <w:bCs/>
        </w:rPr>
        <w:t xml:space="preserve"> běžných příjmů </w:t>
      </w:r>
      <w:r w:rsidRPr="00CE2DE3">
        <w:rPr>
          <w:rFonts w:cs="Arial"/>
          <w:b/>
        </w:rPr>
        <w:t>se</w:t>
      </w:r>
      <w:r w:rsidRPr="00CE2DE3">
        <w:rPr>
          <w:rFonts w:cs="Arial"/>
        </w:rPr>
        <w:t xml:space="preserve"> přibližně 72 % </w:t>
      </w:r>
      <w:r w:rsidRPr="00CE2DE3">
        <w:rPr>
          <w:rFonts w:cs="Arial"/>
          <w:b/>
          <w:bCs/>
        </w:rPr>
        <w:t xml:space="preserve">podílely náhrady zaměstnancům </w:t>
      </w:r>
      <w:r w:rsidR="00C631B5" w:rsidRPr="00CE2DE3">
        <w:rPr>
          <w:rFonts w:cs="Arial"/>
          <w:bCs/>
        </w:rPr>
        <w:t>(růst o 4,2 %) a</w:t>
      </w:r>
      <w:r w:rsidRPr="00CE2DE3">
        <w:rPr>
          <w:rFonts w:cs="Arial"/>
          <w:bCs/>
        </w:rPr>
        <w:t xml:space="preserve"> jednou pětinou </w:t>
      </w:r>
      <w:r w:rsidRPr="00CE2DE3">
        <w:rPr>
          <w:rFonts w:cs="Arial"/>
          <w:b/>
        </w:rPr>
        <w:t xml:space="preserve">ostatní běžné transfery </w:t>
      </w:r>
      <w:r w:rsidRPr="00CE2DE3">
        <w:rPr>
          <w:rFonts w:cs="Arial"/>
        </w:rPr>
        <w:t xml:space="preserve">– jedná se o náhrady z neživotního pojištění, výhry ze sázek a loterií apod. (+16,1 %). </w:t>
      </w:r>
      <w:r w:rsidRPr="00CE2DE3">
        <w:rPr>
          <w:rFonts w:cs="Arial"/>
          <w:bCs/>
        </w:rPr>
        <w:t>V menší míře pak</w:t>
      </w:r>
      <w:r w:rsidRPr="00CE2DE3">
        <w:rPr>
          <w:rFonts w:cs="Arial"/>
        </w:rPr>
        <w:t xml:space="preserve"> na něm participovaly</w:t>
      </w:r>
      <w:r w:rsidRPr="00CE2DE3">
        <w:rPr>
          <w:rFonts w:cs="Arial"/>
          <w:b/>
        </w:rPr>
        <w:t xml:space="preserve"> sociální dávky </w:t>
      </w:r>
      <w:r w:rsidRPr="00CE2DE3">
        <w:rPr>
          <w:rFonts w:cs="Arial"/>
        </w:rPr>
        <w:t xml:space="preserve">(+0,8 %). Naopak </w:t>
      </w:r>
      <w:r w:rsidRPr="00CE2DE3">
        <w:rPr>
          <w:rFonts w:cs="Arial"/>
          <w:b/>
        </w:rPr>
        <w:t>poklesla kupní síla</w:t>
      </w:r>
      <w:r w:rsidRPr="00CE2DE3">
        <w:rPr>
          <w:rFonts w:cs="Arial"/>
        </w:rPr>
        <w:t xml:space="preserve"> (objemu) </w:t>
      </w:r>
      <w:r w:rsidRPr="00CE2DE3">
        <w:rPr>
          <w:rFonts w:cs="Arial"/>
          <w:b/>
        </w:rPr>
        <w:t>důchodů z vlastnictví</w:t>
      </w:r>
      <w:r w:rsidRPr="00CE2DE3">
        <w:rPr>
          <w:rFonts w:cs="Arial"/>
        </w:rPr>
        <w:t xml:space="preserve"> (-6,9 %) a </w:t>
      </w:r>
      <w:r w:rsidRPr="00CE2DE3">
        <w:rPr>
          <w:rFonts w:cs="Arial"/>
          <w:b/>
          <w:bCs/>
        </w:rPr>
        <w:t>smíšeného důchodu</w:t>
      </w:r>
      <w:r w:rsidRPr="00CE2DE3">
        <w:rPr>
          <w:rFonts w:cs="Arial"/>
        </w:rPr>
        <w:t xml:space="preserve"> (zahrnující zejména příjmy z podnikatelských aktivit) – reálný pokles o 0,7 %.</w:t>
      </w:r>
    </w:p>
    <w:p w:rsidR="00790329" w:rsidRPr="00CE2DE3" w:rsidRDefault="00790329" w:rsidP="00790329">
      <w:pPr>
        <w:ind w:left="708"/>
        <w:jc w:val="both"/>
        <w:rPr>
          <w:rFonts w:cs="Arial"/>
        </w:rPr>
      </w:pPr>
    </w:p>
    <w:p w:rsidR="00790329" w:rsidRPr="00CE2DE3" w:rsidRDefault="00790329" w:rsidP="00790329">
      <w:pPr>
        <w:ind w:left="708"/>
        <w:jc w:val="both"/>
        <w:rPr>
          <w:rFonts w:cs="Arial"/>
        </w:rPr>
      </w:pPr>
    </w:p>
    <w:p w:rsidR="00790329" w:rsidRPr="00CE2DE3" w:rsidRDefault="00790329" w:rsidP="00790329">
      <w:pPr>
        <w:ind w:left="708"/>
        <w:jc w:val="both"/>
        <w:rPr>
          <w:rFonts w:cs="Arial"/>
        </w:rPr>
      </w:pPr>
    </w:p>
    <w:p w:rsidR="00790329" w:rsidRPr="00CE2DE3" w:rsidRDefault="00790329" w:rsidP="00790329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  <w:t xml:space="preserve">Po odpočtu běžných výdajů (především daní z příjmů a příspěvků na sociální a zdravotní pojištění) zůstal sektoru domácností </w:t>
      </w:r>
      <w:r w:rsidRPr="00CE2DE3">
        <w:rPr>
          <w:rFonts w:cs="Arial"/>
          <w:b/>
          <w:bCs/>
        </w:rPr>
        <w:t xml:space="preserve">úhrnný disponibilní důchod </w:t>
      </w:r>
      <w:r w:rsidRPr="00CE2DE3">
        <w:rPr>
          <w:rFonts w:cs="Arial"/>
        </w:rPr>
        <w:t xml:space="preserve">v částce </w:t>
      </w:r>
      <w:r w:rsidRPr="00CE2DE3">
        <w:rPr>
          <w:rFonts w:cs="Arial"/>
          <w:b/>
          <w:bCs/>
        </w:rPr>
        <w:t>1 694,7 mld. Kč,</w:t>
      </w:r>
      <w:r w:rsidRPr="00CE2DE3">
        <w:rPr>
          <w:rFonts w:cs="Arial"/>
        </w:rPr>
        <w:t xml:space="preserve"> což bylo </w:t>
      </w:r>
      <w:r w:rsidRPr="00CE2DE3">
        <w:rPr>
          <w:rFonts w:cs="Arial"/>
          <w:b/>
          <w:bCs/>
        </w:rPr>
        <w:t xml:space="preserve">reálně o 1,9 % více </w:t>
      </w:r>
      <w:r w:rsidRPr="00CE2DE3">
        <w:rPr>
          <w:rFonts w:cs="Arial"/>
        </w:rPr>
        <w:t xml:space="preserve">než ve srovnatelném </w:t>
      </w:r>
      <w:r w:rsidR="00C631B5" w:rsidRPr="00CE2DE3">
        <w:rPr>
          <w:rFonts w:cs="Arial"/>
        </w:rPr>
        <w:t>předchozím</w:t>
      </w:r>
      <w:r w:rsidRPr="00CE2DE3">
        <w:rPr>
          <w:rFonts w:cs="Arial"/>
        </w:rPr>
        <w:t xml:space="preserve"> období (kdy se kupní síla jeho objemu meziročně zvýšila o 1,7 %).</w:t>
      </w:r>
    </w:p>
    <w:p w:rsidR="00790329" w:rsidRPr="00CE2DE3" w:rsidRDefault="00790329" w:rsidP="00790329">
      <w:pPr>
        <w:spacing w:line="360" w:lineRule="auto"/>
        <w:jc w:val="both"/>
        <w:rPr>
          <w:rFonts w:cs="Arial"/>
        </w:rPr>
      </w:pPr>
    </w:p>
    <w:p w:rsidR="00790329" w:rsidRPr="00CE2DE3" w:rsidRDefault="00790329" w:rsidP="00790329">
      <w:pPr>
        <w:spacing w:line="360" w:lineRule="auto"/>
        <w:jc w:val="both"/>
        <w:rPr>
          <w:rFonts w:cs="Arial"/>
          <w:b/>
        </w:rPr>
      </w:pPr>
      <w:r w:rsidRPr="00CE2DE3">
        <w:rPr>
          <w:rFonts w:cs="Arial"/>
        </w:rPr>
        <w:tab/>
      </w:r>
      <w:r w:rsidRPr="00CE2DE3">
        <w:rPr>
          <w:rFonts w:cs="Arial"/>
          <w:b/>
        </w:rPr>
        <w:t>Relace disponibilního důchodu k objemu hrubého domácího produktu</w:t>
      </w:r>
      <w:r w:rsidRPr="00CE2DE3">
        <w:rPr>
          <w:rFonts w:cs="Arial"/>
        </w:rPr>
        <w:t xml:space="preserve"> (v běžných cenách) meziročně </w:t>
      </w:r>
      <w:r w:rsidRPr="00CE2DE3">
        <w:rPr>
          <w:rFonts w:cs="Arial"/>
          <w:b/>
        </w:rPr>
        <w:t>poklesla</w:t>
      </w:r>
      <w:r w:rsidRPr="00CE2DE3">
        <w:rPr>
          <w:rFonts w:cs="Arial"/>
        </w:rPr>
        <w:t xml:space="preserve"> o 1,5 p. b. na </w:t>
      </w:r>
      <w:r w:rsidRPr="00CE2DE3">
        <w:rPr>
          <w:rFonts w:cs="Arial"/>
          <w:b/>
        </w:rPr>
        <w:t>50,5 %.</w:t>
      </w:r>
    </w:p>
    <w:p w:rsidR="00790329" w:rsidRPr="00CE2DE3" w:rsidRDefault="00790329" w:rsidP="00790329">
      <w:pPr>
        <w:spacing w:line="360" w:lineRule="auto"/>
        <w:jc w:val="both"/>
        <w:rPr>
          <w:rFonts w:cs="Arial"/>
          <w:b/>
          <w:bCs/>
        </w:rPr>
      </w:pPr>
    </w:p>
    <w:p w:rsidR="00790329" w:rsidRPr="00CE2DE3" w:rsidRDefault="00790329" w:rsidP="00790329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  <w:t>Podrobnější číselné údaje o vývoji ukazatelů v sektoru domácností jsou součástí tabulky č. 1 v příloze.</w:t>
      </w:r>
    </w:p>
    <w:p w:rsidR="00790329" w:rsidRPr="00CE2DE3" w:rsidRDefault="00790329" w:rsidP="00790329">
      <w:pPr>
        <w:spacing w:line="360" w:lineRule="auto"/>
        <w:jc w:val="both"/>
        <w:rPr>
          <w:rFonts w:cs="Arial"/>
        </w:rPr>
      </w:pPr>
    </w:p>
    <w:p w:rsidR="007A3740" w:rsidRPr="00CE2DE3" w:rsidRDefault="007A3740" w:rsidP="00790329">
      <w:pPr>
        <w:spacing w:line="360" w:lineRule="auto"/>
        <w:jc w:val="both"/>
        <w:rPr>
          <w:rFonts w:cs="Arial"/>
        </w:rPr>
      </w:pPr>
    </w:p>
    <w:p w:rsidR="00790329" w:rsidRPr="00CE2DE3" w:rsidRDefault="00790329" w:rsidP="007A3740">
      <w:pPr>
        <w:spacing w:line="360" w:lineRule="auto"/>
        <w:jc w:val="both"/>
        <w:rPr>
          <w:rFonts w:cs="Arial"/>
          <w:bCs/>
        </w:rPr>
      </w:pPr>
      <w:r w:rsidRPr="00CE2DE3">
        <w:rPr>
          <w:rFonts w:cs="Arial"/>
        </w:rPr>
        <w:tab/>
      </w:r>
      <w:r w:rsidRPr="00CE2DE3">
        <w:t xml:space="preserve">Základní vývojové </w:t>
      </w:r>
      <w:r w:rsidRPr="00CE2DE3">
        <w:rPr>
          <w:b/>
        </w:rPr>
        <w:t>tendence</w:t>
      </w:r>
      <w:r w:rsidRPr="00CE2DE3">
        <w:t xml:space="preserve"> v meziroční dynamice </w:t>
      </w:r>
      <w:r w:rsidRPr="00CE2DE3">
        <w:rPr>
          <w:rFonts w:cs="Arial"/>
          <w:b/>
        </w:rPr>
        <w:t>peněžních příjmů domácností</w:t>
      </w:r>
      <w:r w:rsidRPr="00CE2DE3">
        <w:rPr>
          <w:rFonts w:cs="Arial"/>
        </w:rPr>
        <w:t xml:space="preserve"> </w:t>
      </w:r>
      <w:r w:rsidRPr="00CE2DE3">
        <w:rPr>
          <w:rFonts w:cs="Arial"/>
          <w:bCs/>
        </w:rPr>
        <w:t>na mikroúrovni</w:t>
      </w:r>
      <w:r w:rsidRPr="00CE2DE3">
        <w:rPr>
          <w:rFonts w:cs="Arial"/>
          <w:b/>
          <w:bCs/>
        </w:rPr>
        <w:t xml:space="preserve"> </w:t>
      </w:r>
      <w:r w:rsidRPr="00CE2DE3">
        <w:rPr>
          <w:rFonts w:cs="Arial"/>
        </w:rPr>
        <w:t xml:space="preserve">(zpravodajského souboru statistiky rodinných účtů) zaznamenané v průběhu 1. pololetí minulého roku </w:t>
      </w:r>
      <w:r w:rsidRPr="00CE2DE3">
        <w:rPr>
          <w:rFonts w:cs="Arial"/>
          <w:b/>
        </w:rPr>
        <w:t>se nezměnily</w:t>
      </w:r>
      <w:r w:rsidRPr="00CE2DE3">
        <w:rPr>
          <w:rFonts w:cs="Arial"/>
        </w:rPr>
        <w:t xml:space="preserve"> ani v červenci – září 2015 </w:t>
      </w:r>
      <w:r w:rsidRPr="00CE2DE3">
        <w:rPr>
          <w:rFonts w:cs="Arial"/>
          <w:bCs/>
        </w:rPr>
        <w:t xml:space="preserve">(data v dalším textu a tabulce č. 2 v příloze jsou vzhledem k zachování </w:t>
      </w:r>
      <w:r w:rsidRPr="00CE2DE3">
        <w:rPr>
          <w:rFonts w:cs="Arial"/>
          <w:bCs/>
        </w:rPr>
        <w:lastRenderedPageBreak/>
        <w:t>srovnatelnosti nadále uváděna po jejich redukci o vliv mimořádného přírůstku prodejů nemovitostí):</w:t>
      </w:r>
    </w:p>
    <w:p w:rsidR="007A3740" w:rsidRPr="00CE2DE3" w:rsidRDefault="007A3740" w:rsidP="007A3740">
      <w:pPr>
        <w:spacing w:line="360" w:lineRule="auto"/>
        <w:jc w:val="both"/>
      </w:pPr>
    </w:p>
    <w:p w:rsidR="00790329" w:rsidRPr="00CE2DE3" w:rsidRDefault="00790329" w:rsidP="00643A5A">
      <w:pPr>
        <w:pStyle w:val="Odstavecseseznamem"/>
        <w:numPr>
          <w:ilvl w:val="0"/>
          <w:numId w:val="22"/>
        </w:numPr>
        <w:spacing w:line="360" w:lineRule="auto"/>
        <w:jc w:val="both"/>
      </w:pPr>
      <w:r w:rsidRPr="00CE2DE3">
        <w:rPr>
          <w:b/>
          <w:bCs/>
        </w:rPr>
        <w:t xml:space="preserve">měsíční </w:t>
      </w:r>
      <w:r w:rsidRPr="00CE2DE3">
        <w:t>nominální</w:t>
      </w:r>
      <w:r w:rsidRPr="00CE2DE3">
        <w:rPr>
          <w:b/>
          <w:bCs/>
        </w:rPr>
        <w:t xml:space="preserve"> </w:t>
      </w:r>
      <w:r w:rsidRPr="00CE2DE3">
        <w:t xml:space="preserve">čistý peněžní </w:t>
      </w:r>
      <w:r w:rsidRPr="00CE2DE3">
        <w:rPr>
          <w:b/>
          <w:bCs/>
        </w:rPr>
        <w:t>příjem</w:t>
      </w:r>
      <w:r w:rsidRPr="00CE2DE3">
        <w:t xml:space="preserve"> </w:t>
      </w:r>
      <w:r w:rsidRPr="00CE2DE3">
        <w:rPr>
          <w:b/>
          <w:bCs/>
        </w:rPr>
        <w:t>na jednoho člena domácnosti</w:t>
      </w:r>
      <w:r w:rsidRPr="00CE2DE3">
        <w:t xml:space="preserve"> zpravodajského souboru činil v průměru </w:t>
      </w:r>
      <w:r w:rsidRPr="00CE2DE3">
        <w:rPr>
          <w:b/>
          <w:bCs/>
        </w:rPr>
        <w:t xml:space="preserve">12 802 Kč </w:t>
      </w:r>
      <w:r w:rsidRPr="00CE2DE3">
        <w:t>(</w:t>
      </w:r>
      <w:r w:rsidRPr="00CE2DE3">
        <w:rPr>
          <w:bCs/>
        </w:rPr>
        <w:t>o 258 Kč více</w:t>
      </w:r>
      <w:r w:rsidRPr="00CE2DE3">
        <w:rPr>
          <w:b/>
          <w:bCs/>
        </w:rPr>
        <w:t xml:space="preserve"> </w:t>
      </w:r>
      <w:r w:rsidRPr="00CE2DE3">
        <w:rPr>
          <w:szCs w:val="24"/>
        </w:rPr>
        <w:t xml:space="preserve">než před rokem); při zohlednění meziroční cenové inflace </w:t>
      </w:r>
      <w:r w:rsidRPr="00CE2DE3">
        <w:rPr>
          <w:b/>
          <w:bCs/>
        </w:rPr>
        <w:t>kupní síla</w:t>
      </w:r>
      <w:r w:rsidRPr="00CE2DE3">
        <w:t xml:space="preserve"> </w:t>
      </w:r>
      <w:r w:rsidRPr="00CE2DE3">
        <w:rPr>
          <w:bCs/>
        </w:rPr>
        <w:t>tohoto příjmu</w:t>
      </w:r>
      <w:r w:rsidRPr="00CE2DE3">
        <w:t xml:space="preserve"> vzrostla </w:t>
      </w:r>
      <w:r w:rsidRPr="00CE2DE3">
        <w:rPr>
          <w:b/>
          <w:bCs/>
        </w:rPr>
        <w:t>o</w:t>
      </w:r>
      <w:r w:rsidRPr="00CE2DE3">
        <w:rPr>
          <w:b/>
        </w:rPr>
        <w:t xml:space="preserve"> 1,6</w:t>
      </w:r>
      <w:r w:rsidRPr="00CE2DE3">
        <w:rPr>
          <w:b/>
          <w:bCs/>
        </w:rPr>
        <w:t xml:space="preserve"> % </w:t>
      </w:r>
      <w:r w:rsidRPr="00CE2DE3">
        <w:rPr>
          <w:bCs/>
        </w:rPr>
        <w:t>(v 1. pololetí to bylo o 1,7 %)</w:t>
      </w:r>
      <w:r w:rsidRPr="00CE2DE3">
        <w:t>,</w:t>
      </w:r>
    </w:p>
    <w:p w:rsidR="00790329" w:rsidRPr="00CE2DE3" w:rsidRDefault="00790329" w:rsidP="00643A5A">
      <w:pPr>
        <w:numPr>
          <w:ilvl w:val="0"/>
          <w:numId w:val="22"/>
        </w:numPr>
        <w:tabs>
          <w:tab w:val="left" w:pos="3969"/>
        </w:tabs>
        <w:spacing w:line="360" w:lineRule="auto"/>
        <w:jc w:val="both"/>
      </w:pPr>
      <w:r w:rsidRPr="00CE2DE3">
        <w:t xml:space="preserve">nominální </w:t>
      </w:r>
      <w:r w:rsidRPr="00CE2DE3">
        <w:rPr>
          <w:b/>
          <w:bCs/>
        </w:rPr>
        <w:t xml:space="preserve">přírůstek </w:t>
      </w:r>
      <w:r w:rsidRPr="00CE2DE3">
        <w:t xml:space="preserve">čistých peněžních </w:t>
      </w:r>
      <w:r w:rsidRPr="00CE2DE3">
        <w:rPr>
          <w:b/>
          <w:bCs/>
        </w:rPr>
        <w:t xml:space="preserve">příjmů </w:t>
      </w:r>
      <w:r w:rsidRPr="00CE2DE3">
        <w:rPr>
          <w:bCs/>
        </w:rPr>
        <w:t>na osobu</w:t>
      </w:r>
      <w:r w:rsidRPr="00CE2DE3">
        <w:rPr>
          <w:b/>
          <w:bCs/>
        </w:rPr>
        <w:t xml:space="preserve"> zaznamenaly </w:t>
      </w:r>
      <w:r w:rsidRPr="00CE2DE3">
        <w:rPr>
          <w:bCs/>
        </w:rPr>
        <w:t xml:space="preserve">všechny typy </w:t>
      </w:r>
      <w:r w:rsidRPr="00CE2DE3">
        <w:rPr>
          <w:b/>
          <w:bCs/>
        </w:rPr>
        <w:t xml:space="preserve">zaměstnaneckých domácností </w:t>
      </w:r>
      <w:r w:rsidRPr="00CE2DE3">
        <w:rPr>
          <w:bCs/>
        </w:rPr>
        <w:t xml:space="preserve">(nejvíce zaměstnanci bez dětí – nominálně o 5,2 %) </w:t>
      </w:r>
      <w:r w:rsidRPr="00CE2DE3">
        <w:rPr>
          <w:b/>
          <w:bCs/>
        </w:rPr>
        <w:t>a domácnosti důchodců</w:t>
      </w:r>
      <w:r w:rsidRPr="00CE2DE3">
        <w:rPr>
          <w:bCs/>
        </w:rPr>
        <w:t xml:space="preserve"> bez ekonomicky aktivních členů (o 0,5 %),</w:t>
      </w:r>
      <w:r w:rsidRPr="00CE2DE3">
        <w:rPr>
          <w:b/>
          <w:bCs/>
        </w:rPr>
        <w:t xml:space="preserve"> </w:t>
      </w:r>
      <w:r w:rsidRPr="00CE2DE3">
        <w:rPr>
          <w:bCs/>
        </w:rPr>
        <w:t>zatímco</w:t>
      </w:r>
      <w:r w:rsidRPr="00CE2DE3">
        <w:rPr>
          <w:b/>
          <w:bCs/>
        </w:rPr>
        <w:t xml:space="preserve"> domácnosti osob samostatně výdělečně činných vykázaly </w:t>
      </w:r>
      <w:r w:rsidRPr="00CE2DE3">
        <w:rPr>
          <w:bCs/>
        </w:rPr>
        <w:t xml:space="preserve">(vzhledem k vyšší základně příjmů z podnikání v roce 2014) jejich </w:t>
      </w:r>
      <w:r w:rsidRPr="00CE2DE3">
        <w:rPr>
          <w:b/>
          <w:bCs/>
        </w:rPr>
        <w:t xml:space="preserve">pokles </w:t>
      </w:r>
      <w:r w:rsidRPr="00CE2DE3">
        <w:rPr>
          <w:bCs/>
        </w:rPr>
        <w:t>(o 1,4 %),</w:t>
      </w:r>
    </w:p>
    <w:p w:rsidR="00790329" w:rsidRPr="00CE2DE3" w:rsidRDefault="00790329" w:rsidP="007A3740">
      <w:pPr>
        <w:numPr>
          <w:ilvl w:val="0"/>
          <w:numId w:val="22"/>
        </w:numPr>
        <w:tabs>
          <w:tab w:val="left" w:pos="3969"/>
        </w:tabs>
        <w:spacing w:line="360" w:lineRule="auto"/>
        <w:jc w:val="both"/>
      </w:pPr>
      <w:r w:rsidRPr="00CE2DE3">
        <w:rPr>
          <w:b/>
          <w:bCs/>
        </w:rPr>
        <w:t xml:space="preserve">průměrná domácnost </w:t>
      </w:r>
      <w:r w:rsidRPr="00CE2DE3">
        <w:rPr>
          <w:bCs/>
        </w:rPr>
        <w:t>zpravodajského</w:t>
      </w:r>
      <w:r w:rsidRPr="00CE2DE3">
        <w:t xml:space="preserve"> souboru statistiky rodinných účtů</w:t>
      </w:r>
      <w:r w:rsidRPr="00CE2DE3">
        <w:rPr>
          <w:b/>
          <w:bCs/>
        </w:rPr>
        <w:t xml:space="preserve"> měla v 1. – 3. čtvrtletí 2015 k využití čistý </w:t>
      </w:r>
      <w:r w:rsidRPr="00CE2DE3">
        <w:t xml:space="preserve">nominální </w:t>
      </w:r>
      <w:r w:rsidRPr="00CE2DE3">
        <w:rPr>
          <w:b/>
          <w:bCs/>
        </w:rPr>
        <w:t>příjem 28 380 Kč měsíčně</w:t>
      </w:r>
      <w:r w:rsidRPr="00CE2DE3">
        <w:t xml:space="preserve"> – což bylo reálně </w:t>
      </w:r>
      <w:r w:rsidRPr="00CE2DE3">
        <w:rPr>
          <w:b/>
        </w:rPr>
        <w:t xml:space="preserve">o 1,3 % více než před rokem </w:t>
      </w:r>
      <w:r w:rsidRPr="00CE2DE3">
        <w:t>(stejně jako v 1. pololetí).</w:t>
      </w:r>
    </w:p>
    <w:p w:rsidR="007A3740" w:rsidRPr="00CE2DE3" w:rsidRDefault="007A3740" w:rsidP="007A3740">
      <w:pPr>
        <w:spacing w:line="360" w:lineRule="auto"/>
        <w:jc w:val="both"/>
        <w:rPr>
          <w:rFonts w:cs="Arial"/>
        </w:rPr>
      </w:pPr>
    </w:p>
    <w:p w:rsidR="007A3740" w:rsidRPr="00CE2DE3" w:rsidRDefault="007A3740" w:rsidP="007A3740">
      <w:pPr>
        <w:spacing w:line="360" w:lineRule="auto"/>
        <w:jc w:val="both"/>
        <w:rPr>
          <w:rFonts w:cs="Arial"/>
        </w:rPr>
      </w:pPr>
    </w:p>
    <w:p w:rsidR="00790329" w:rsidRPr="00CE2DE3" w:rsidRDefault="007A3740" w:rsidP="007A3740">
      <w:pPr>
        <w:spacing w:line="360" w:lineRule="auto"/>
        <w:jc w:val="both"/>
      </w:pPr>
      <w:r w:rsidRPr="00CE2DE3">
        <w:rPr>
          <w:rFonts w:cs="Arial"/>
        </w:rPr>
        <w:tab/>
      </w:r>
      <w:r w:rsidR="00790329" w:rsidRPr="00CE2DE3">
        <w:t>V dalších částech zprávy jsou popsány nejdůležitější poznatky z analýzy vývoje dvou nejvýznamnějších kategorií příjmů domácností, tj. mezd a příjmů sociálního charakteru.</w:t>
      </w:r>
    </w:p>
    <w:p w:rsidR="00790329" w:rsidRPr="00CE2DE3" w:rsidRDefault="00790329" w:rsidP="00790329">
      <w:pPr>
        <w:spacing w:line="360" w:lineRule="auto"/>
        <w:jc w:val="both"/>
        <w:rPr>
          <w:rFonts w:cs="Arial"/>
        </w:rPr>
      </w:pPr>
    </w:p>
    <w:p w:rsidR="00790329" w:rsidRPr="00CE2DE3" w:rsidRDefault="00790329" w:rsidP="00790329">
      <w:pPr>
        <w:spacing w:line="360" w:lineRule="auto"/>
        <w:rPr>
          <w:rFonts w:cs="Arial"/>
        </w:rPr>
      </w:pPr>
    </w:p>
    <w:p w:rsidR="00790329" w:rsidRPr="00CE2DE3" w:rsidRDefault="00790329" w:rsidP="00790329">
      <w:pPr>
        <w:spacing w:line="360" w:lineRule="auto"/>
        <w:rPr>
          <w:rFonts w:cs="Arial"/>
        </w:rPr>
      </w:pPr>
    </w:p>
    <w:p w:rsidR="007A3740" w:rsidRPr="00CE2DE3" w:rsidRDefault="007A3740" w:rsidP="00790329">
      <w:pPr>
        <w:spacing w:line="360" w:lineRule="auto"/>
        <w:rPr>
          <w:rFonts w:cs="Arial"/>
        </w:rPr>
      </w:pPr>
    </w:p>
    <w:p w:rsidR="00643A5A" w:rsidRPr="00CE2DE3" w:rsidRDefault="00643A5A" w:rsidP="00790329">
      <w:pPr>
        <w:spacing w:line="360" w:lineRule="auto"/>
        <w:rPr>
          <w:rFonts w:cs="Arial"/>
        </w:rPr>
      </w:pPr>
    </w:p>
    <w:p w:rsidR="00643A5A" w:rsidRPr="00CE2DE3" w:rsidRDefault="00643A5A" w:rsidP="00790329">
      <w:pPr>
        <w:spacing w:line="360" w:lineRule="auto"/>
        <w:rPr>
          <w:rFonts w:cs="Arial"/>
        </w:rPr>
      </w:pPr>
    </w:p>
    <w:p w:rsidR="00643A5A" w:rsidRPr="00CE2DE3" w:rsidRDefault="00643A5A" w:rsidP="00790329">
      <w:pPr>
        <w:spacing w:line="360" w:lineRule="auto"/>
        <w:rPr>
          <w:rFonts w:cs="Arial"/>
        </w:rPr>
      </w:pPr>
    </w:p>
    <w:p w:rsidR="00643A5A" w:rsidRPr="00CE2DE3" w:rsidRDefault="00643A5A" w:rsidP="00790329">
      <w:pPr>
        <w:spacing w:line="360" w:lineRule="auto"/>
        <w:rPr>
          <w:rFonts w:cs="Arial"/>
        </w:rPr>
      </w:pPr>
    </w:p>
    <w:p w:rsidR="00643A5A" w:rsidRPr="00CE2DE3" w:rsidRDefault="00643A5A" w:rsidP="00790329">
      <w:pPr>
        <w:spacing w:line="360" w:lineRule="auto"/>
        <w:rPr>
          <w:rFonts w:cs="Arial"/>
        </w:rPr>
      </w:pPr>
    </w:p>
    <w:p w:rsidR="00643A5A" w:rsidRPr="00CE2DE3" w:rsidRDefault="00643A5A" w:rsidP="00790329">
      <w:pPr>
        <w:spacing w:line="360" w:lineRule="auto"/>
        <w:rPr>
          <w:rFonts w:cs="Arial"/>
        </w:rPr>
      </w:pPr>
    </w:p>
    <w:p w:rsidR="00643A5A" w:rsidRPr="00CE2DE3" w:rsidRDefault="00643A5A" w:rsidP="00790329">
      <w:pPr>
        <w:spacing w:line="360" w:lineRule="auto"/>
        <w:rPr>
          <w:rFonts w:cs="Arial"/>
        </w:rPr>
      </w:pPr>
    </w:p>
    <w:p w:rsidR="00A059CA" w:rsidRPr="00CE2DE3" w:rsidRDefault="00A059CA" w:rsidP="00E96784">
      <w:pPr>
        <w:spacing w:afterLines="120"/>
        <w:rPr>
          <w:rFonts w:cs="Arial"/>
          <w:b/>
          <w:szCs w:val="24"/>
        </w:rPr>
      </w:pPr>
      <w:r w:rsidRPr="00CE2DE3">
        <w:rPr>
          <w:rFonts w:cs="Arial"/>
          <w:b/>
          <w:sz w:val="28"/>
          <w:szCs w:val="28"/>
        </w:rPr>
        <w:lastRenderedPageBreak/>
        <w:t>1. 2 Mzdy</w:t>
      </w:r>
    </w:p>
    <w:p w:rsidR="00EA567A" w:rsidRPr="00CE2DE3" w:rsidRDefault="00EA567A" w:rsidP="00B61D17">
      <w:pPr>
        <w:spacing w:line="360" w:lineRule="auto"/>
        <w:jc w:val="both"/>
        <w:rPr>
          <w:rFonts w:cs="Arial"/>
          <w:b/>
          <w:szCs w:val="24"/>
        </w:rPr>
      </w:pPr>
    </w:p>
    <w:p w:rsidR="00EA567A" w:rsidRPr="00CE2DE3" w:rsidRDefault="00EA567A" w:rsidP="00B61D17">
      <w:pPr>
        <w:spacing w:line="360" w:lineRule="auto"/>
        <w:jc w:val="both"/>
        <w:rPr>
          <w:rFonts w:cs="Arial"/>
          <w:b/>
          <w:szCs w:val="24"/>
        </w:rPr>
      </w:pPr>
    </w:p>
    <w:p w:rsidR="005F1660" w:rsidRPr="00CE2DE3" w:rsidRDefault="005F1660" w:rsidP="005F1660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</w:r>
      <w:r w:rsidRPr="00CE2DE3">
        <w:rPr>
          <w:rFonts w:cs="Arial"/>
          <w:b/>
        </w:rPr>
        <w:t>Rozhodující část</w:t>
      </w:r>
      <w:r w:rsidRPr="00CE2DE3">
        <w:rPr>
          <w:rFonts w:cs="Arial"/>
        </w:rPr>
        <w:t xml:space="preserve"> </w:t>
      </w:r>
      <w:r w:rsidRPr="00CE2DE3">
        <w:rPr>
          <w:rFonts w:cs="Arial"/>
          <w:bCs/>
        </w:rPr>
        <w:t>peněžních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  <w:bCs/>
        </w:rPr>
        <w:t xml:space="preserve">příjmů domácností </w:t>
      </w:r>
      <w:r w:rsidRPr="00CE2DE3">
        <w:rPr>
          <w:rFonts w:cs="Arial"/>
          <w:bCs/>
        </w:rPr>
        <w:t>tvořily</w:t>
      </w:r>
      <w:r w:rsidRPr="00CE2DE3">
        <w:rPr>
          <w:rFonts w:cs="Arial"/>
          <w:b/>
        </w:rPr>
        <w:t xml:space="preserve"> </w:t>
      </w:r>
      <w:r w:rsidRPr="00CE2DE3">
        <w:rPr>
          <w:rFonts w:cs="Arial"/>
          <w:b/>
          <w:bCs/>
        </w:rPr>
        <w:t>mzdy.</w:t>
      </w:r>
      <w:r w:rsidRPr="00CE2DE3">
        <w:rPr>
          <w:rFonts w:cs="Arial"/>
          <w:bCs/>
        </w:rPr>
        <w:t xml:space="preserve"> Celkový </w:t>
      </w:r>
      <w:r w:rsidRPr="00CE2DE3">
        <w:rPr>
          <w:rFonts w:cs="Arial"/>
          <w:b/>
          <w:bCs/>
        </w:rPr>
        <w:t xml:space="preserve">objem mzdových prostředků </w:t>
      </w:r>
      <w:r w:rsidRPr="00CE2DE3">
        <w:rPr>
          <w:rFonts w:cs="Arial"/>
        </w:rPr>
        <w:t>(bez ostatních osobních nákladů) zúčtovaný všem zaměstnancům k výplatě</w:t>
      </w:r>
      <w:r w:rsidRPr="00CE2DE3">
        <w:t xml:space="preserve"> za celé národní hospodářství </w:t>
      </w:r>
      <w:r w:rsidRPr="00CE2DE3">
        <w:rPr>
          <w:rFonts w:cs="Arial"/>
        </w:rPr>
        <w:t xml:space="preserve">dosáhl za 1. – 3. čtvrtletí loňského roku </w:t>
      </w:r>
      <w:r w:rsidRPr="00CE2DE3">
        <w:rPr>
          <w:rFonts w:cs="Arial"/>
          <w:b/>
          <w:bCs/>
        </w:rPr>
        <w:t>892,9 mld. Kč</w:t>
      </w:r>
      <w:r w:rsidRPr="00CE2DE3">
        <w:rPr>
          <w:rFonts w:cs="Arial"/>
        </w:rPr>
        <w:t xml:space="preserve"> a byl tak nominálně </w:t>
      </w:r>
      <w:r w:rsidRPr="00CE2DE3">
        <w:rPr>
          <w:rFonts w:cs="Arial"/>
          <w:b/>
          <w:bCs/>
        </w:rPr>
        <w:t>o 5</w:t>
      </w:r>
      <w:r w:rsidRPr="00CE2DE3">
        <w:rPr>
          <w:rFonts w:cs="Arial"/>
          <w:b/>
        </w:rPr>
        <w:t>,1 </w:t>
      </w:r>
      <w:r w:rsidRPr="00CE2DE3">
        <w:rPr>
          <w:rFonts w:cs="Arial"/>
          <w:b/>
          <w:bCs/>
        </w:rPr>
        <w:t xml:space="preserve">% vyšší </w:t>
      </w:r>
      <w:r w:rsidRPr="00CE2DE3">
        <w:rPr>
          <w:rFonts w:cs="Arial"/>
        </w:rPr>
        <w:t>než ve stejném období roku 2014.</w:t>
      </w:r>
    </w:p>
    <w:p w:rsidR="005F1660" w:rsidRPr="00CE2DE3" w:rsidRDefault="005F1660" w:rsidP="005F1660">
      <w:pPr>
        <w:spacing w:line="360" w:lineRule="auto"/>
        <w:jc w:val="both"/>
        <w:rPr>
          <w:rFonts w:cs="Arial"/>
        </w:rPr>
      </w:pPr>
    </w:p>
    <w:p w:rsidR="005F1660" w:rsidRPr="00CE2DE3" w:rsidRDefault="005F1660" w:rsidP="005F1660">
      <w:pPr>
        <w:spacing w:line="360" w:lineRule="auto"/>
        <w:jc w:val="both"/>
        <w:rPr>
          <w:rFonts w:cs="Arial"/>
          <w:bCs/>
        </w:rPr>
      </w:pPr>
      <w:r w:rsidRPr="00CE2DE3">
        <w:rPr>
          <w:rFonts w:cs="Arial"/>
          <w:b/>
        </w:rPr>
        <w:tab/>
        <w:t>Průměrná hrubá měsíční nominální mzda</w:t>
      </w:r>
      <w:r w:rsidRPr="00CE2DE3">
        <w:rPr>
          <w:rFonts w:cs="Arial"/>
          <w:bCs/>
        </w:rPr>
        <w:t xml:space="preserve"> na přepočtené počty zaměstnanců </w:t>
      </w:r>
      <w:r w:rsidRPr="00CE2DE3">
        <w:rPr>
          <w:rFonts w:cs="Arial"/>
          <w:b/>
        </w:rPr>
        <w:t>v národním hospodářství dosáhla</w:t>
      </w:r>
      <w:r w:rsidRPr="00CE2DE3">
        <w:rPr>
          <w:rFonts w:cs="Arial"/>
        </w:rPr>
        <w:t xml:space="preserve"> </w:t>
      </w:r>
      <w:r w:rsidRPr="00CE2DE3">
        <w:rPr>
          <w:rFonts w:cs="Arial"/>
          <w:bCs/>
        </w:rPr>
        <w:t>v 1. </w:t>
      </w:r>
      <w:r w:rsidRPr="00CE2DE3">
        <w:rPr>
          <w:rFonts w:cs="Arial"/>
        </w:rPr>
        <w:t>– </w:t>
      </w:r>
      <w:r w:rsidRPr="00CE2DE3">
        <w:rPr>
          <w:rFonts w:cs="Arial"/>
          <w:bCs/>
        </w:rPr>
        <w:t xml:space="preserve">3. čtvrtletí 2015 </w:t>
      </w:r>
      <w:r w:rsidRPr="00CE2DE3">
        <w:rPr>
          <w:rFonts w:cs="Arial"/>
          <w:b/>
        </w:rPr>
        <w:t>výše</w:t>
      </w:r>
      <w:r w:rsidRPr="00CE2DE3">
        <w:rPr>
          <w:rFonts w:cs="Arial"/>
          <w:bCs/>
        </w:rPr>
        <w:t xml:space="preserve"> </w:t>
      </w:r>
      <w:r w:rsidRPr="00CE2DE3">
        <w:rPr>
          <w:rFonts w:cs="Arial"/>
          <w:b/>
        </w:rPr>
        <w:t>25 903 Kč,</w:t>
      </w:r>
      <w:r w:rsidRPr="00CE2DE3">
        <w:rPr>
          <w:rFonts w:cs="Arial"/>
        </w:rPr>
        <w:t xml:space="preserve"> což představovalo </w:t>
      </w:r>
      <w:r w:rsidRPr="00CE2DE3">
        <w:rPr>
          <w:rFonts w:cs="Arial"/>
          <w:b/>
        </w:rPr>
        <w:t>meziroční nominální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>nárůst o 3,2 %</w:t>
      </w:r>
      <w:r w:rsidR="00EA567A" w:rsidRPr="00CE2DE3">
        <w:rPr>
          <w:rFonts w:cs="Arial"/>
          <w:b/>
        </w:rPr>
        <w:t>,</w:t>
      </w:r>
      <w:r w:rsidRPr="00CE2DE3">
        <w:rPr>
          <w:rFonts w:cs="Arial"/>
          <w:bCs/>
        </w:rPr>
        <w:t xml:space="preserve"> tj. o 803 Kč. Spotřebitelské ceny se v porovnání se stejným obdobím předchozího roku zvýšily o 0,4 %, </w:t>
      </w:r>
      <w:r w:rsidRPr="00CE2DE3">
        <w:rPr>
          <w:rFonts w:cs="Arial"/>
          <w:b/>
          <w:bCs/>
        </w:rPr>
        <w:t>průměrná reálná mzda</w:t>
      </w:r>
      <w:r w:rsidRPr="00CE2DE3">
        <w:rPr>
          <w:rFonts w:cs="Arial"/>
          <w:bCs/>
        </w:rPr>
        <w:t xml:space="preserve"> tedy vzhledem k přetrvávající nízké míře cenové inflace </w:t>
      </w:r>
      <w:r w:rsidRPr="00CE2DE3">
        <w:rPr>
          <w:rFonts w:cs="Arial"/>
          <w:b/>
          <w:bCs/>
        </w:rPr>
        <w:t>vzrostla o 2,8 %</w:t>
      </w:r>
      <w:r w:rsidRPr="00CE2DE3">
        <w:rPr>
          <w:rFonts w:cs="Arial"/>
          <w:bCs/>
        </w:rPr>
        <w:t xml:space="preserve"> (v 1. </w:t>
      </w:r>
      <w:r w:rsidRPr="00CE2DE3">
        <w:rPr>
          <w:rFonts w:cs="Arial"/>
          <w:bCs/>
        </w:rPr>
        <w:noBreakHyphen/>
        <w:t xml:space="preserve"> 3. čtvrtletí 2014 se zvýšila nominálně o 2,3 %, reálně o 2,0 %). Zvyšující se dynamika růstu průměrné mzdy v sobě odrazila příznivý vývoj ekonomiky a s ním související pozitivní situaci na trhu práce doprovázenou zvyšováním zaměstnanosti a poklesem nezaměstnanosti. Nárůst mezd byl zaznamenán jak v podnikatelské, tak i nepodnikatelské sféře. </w:t>
      </w:r>
      <w:r w:rsidRPr="00CE2DE3">
        <w:rPr>
          <w:rFonts w:cs="Arial"/>
          <w:b/>
          <w:bCs/>
        </w:rPr>
        <w:t xml:space="preserve">Průměrná mzda v podnikatelské sféře vzrostla </w:t>
      </w:r>
      <w:r w:rsidRPr="00CE2DE3">
        <w:rPr>
          <w:rFonts w:cs="Arial"/>
          <w:bCs/>
        </w:rPr>
        <w:t xml:space="preserve">proti stejnému období předchozího roku nominálně o 3,1 %, reálně o 2,7 % </w:t>
      </w:r>
      <w:r w:rsidRPr="00CE2DE3">
        <w:rPr>
          <w:rFonts w:cs="Arial"/>
          <w:b/>
          <w:bCs/>
        </w:rPr>
        <w:t>a dosáhla úrovně 25 914 Kč.</w:t>
      </w:r>
      <w:r w:rsidRPr="00CE2DE3">
        <w:rPr>
          <w:rFonts w:cs="Arial"/>
          <w:bCs/>
        </w:rPr>
        <w:t xml:space="preserve"> </w:t>
      </w:r>
      <w:r w:rsidRPr="00CE2DE3">
        <w:rPr>
          <w:rFonts w:cs="Arial"/>
          <w:b/>
          <w:bCs/>
        </w:rPr>
        <w:t>V nepodnikatelské sféře se</w:t>
      </w:r>
      <w:r w:rsidRPr="00CE2DE3">
        <w:rPr>
          <w:rFonts w:cs="Arial"/>
          <w:bCs/>
        </w:rPr>
        <w:t xml:space="preserve"> </w:t>
      </w:r>
      <w:r w:rsidRPr="00CE2DE3">
        <w:rPr>
          <w:rFonts w:cs="Arial"/>
          <w:b/>
          <w:bCs/>
        </w:rPr>
        <w:t>průměrný plat zvýšil více</w:t>
      </w:r>
      <w:r w:rsidRPr="00CE2DE3">
        <w:rPr>
          <w:rFonts w:cs="Arial"/>
          <w:bCs/>
        </w:rPr>
        <w:t xml:space="preserve"> než v podnikatelské sféře – nominálně o 3,6 %, reálně o 3,2 % </w:t>
      </w:r>
      <w:r w:rsidRPr="00CE2DE3">
        <w:rPr>
          <w:rFonts w:cs="Arial"/>
          <w:b/>
          <w:bCs/>
        </w:rPr>
        <w:t>na 25 850 Kč</w:t>
      </w:r>
      <w:r w:rsidRPr="00CE2DE3">
        <w:rPr>
          <w:rFonts w:cs="Arial"/>
          <w:bCs/>
        </w:rPr>
        <w:t xml:space="preserve"> – viz tabulku č. 3 v příloze. I přes uvedený rozdíl v tempech růstu převýšila průměrná mzda v podnikatelské sféře svojí úrovní plat ve veřejných službách a správě o 64 Kč. Relace této průměrné mzdy k průměrnému platu činila ve sledovaném období 100,2 % (ve stejném období předchozího roku 100,8 %).</w:t>
      </w:r>
    </w:p>
    <w:p w:rsidR="005F1660" w:rsidRPr="00CE2DE3" w:rsidRDefault="005F1660" w:rsidP="005F1660">
      <w:pPr>
        <w:spacing w:line="360" w:lineRule="auto"/>
        <w:jc w:val="both"/>
        <w:rPr>
          <w:rFonts w:cs="Arial"/>
          <w:bCs/>
        </w:rPr>
      </w:pPr>
    </w:p>
    <w:p w:rsidR="005F1660" w:rsidRPr="00CE2DE3" w:rsidRDefault="005F1660" w:rsidP="005F1660">
      <w:pPr>
        <w:spacing w:line="360" w:lineRule="auto"/>
        <w:jc w:val="both"/>
        <w:rPr>
          <w:rFonts w:cs="Arial"/>
          <w:bCs/>
        </w:rPr>
      </w:pPr>
      <w:r w:rsidRPr="00CE2DE3">
        <w:rPr>
          <w:rFonts w:cs="Arial"/>
          <w:bCs/>
        </w:rPr>
        <w:tab/>
        <w:t xml:space="preserve">Opačný trend ve vývoji průměrné mzdy v podnikatelské a nepodnikatelské sféře lze vypozorovat při hodnocení tempa růstu </w:t>
      </w:r>
      <w:r w:rsidRPr="00CE2DE3">
        <w:rPr>
          <w:rFonts w:cs="Arial"/>
          <w:b/>
          <w:bCs/>
        </w:rPr>
        <w:t>v samotném 3. čtvrtletí</w:t>
      </w:r>
      <w:r w:rsidRPr="00CE2DE3">
        <w:rPr>
          <w:rFonts w:cs="Arial"/>
          <w:bCs/>
        </w:rPr>
        <w:t xml:space="preserve"> letošního roku. Zatímco v podnikatelské sféře byl zaznamenán zvyšující se nárůst průměrné mzdy (v jednotlivých čtvrtletích) až na 3,8 % ve 3. čtvrtletí, v nepodnikatelské sféře došlo u průměrného platu (po intenzivnějším nárůstu ve 2. čtvrtletí) ke zvýšení o 3,5 %. </w:t>
      </w:r>
      <w:r w:rsidRPr="00CE2DE3">
        <w:rPr>
          <w:rFonts w:cs="Arial"/>
          <w:b/>
          <w:bCs/>
        </w:rPr>
        <w:t>Průměrná hrubá měsíční nominální mzda</w:t>
      </w:r>
      <w:r w:rsidRPr="00CE2DE3">
        <w:rPr>
          <w:rFonts w:cs="Arial"/>
          <w:bCs/>
        </w:rPr>
        <w:t xml:space="preserve"> </w:t>
      </w:r>
      <w:r w:rsidRPr="00CE2DE3">
        <w:rPr>
          <w:rFonts w:cs="Arial"/>
          <w:b/>
          <w:bCs/>
        </w:rPr>
        <w:t xml:space="preserve">v národním hospodářství </w:t>
      </w:r>
      <w:r w:rsidRPr="00CE2DE3">
        <w:rPr>
          <w:rFonts w:cs="Arial"/>
          <w:b/>
          <w:bCs/>
        </w:rPr>
        <w:lastRenderedPageBreak/>
        <w:t>ve 3. čtvrtletí dosáhla 26 072 Kč</w:t>
      </w:r>
      <w:r w:rsidRPr="00CE2DE3">
        <w:rPr>
          <w:rFonts w:cs="Arial"/>
          <w:bCs/>
        </w:rPr>
        <w:t xml:space="preserve"> a byla </w:t>
      </w:r>
      <w:r w:rsidRPr="00CE2DE3">
        <w:rPr>
          <w:rFonts w:cs="Arial"/>
          <w:b/>
          <w:bCs/>
        </w:rPr>
        <w:t>o 3,8 % vyšší</w:t>
      </w:r>
      <w:r w:rsidRPr="00CE2DE3">
        <w:rPr>
          <w:rFonts w:cs="Arial"/>
          <w:bCs/>
        </w:rPr>
        <w:t xml:space="preserve"> než ve stejném období předchozího roku. </w:t>
      </w:r>
      <w:r w:rsidRPr="00CE2DE3">
        <w:rPr>
          <w:rFonts w:cs="Arial"/>
          <w:b/>
          <w:bCs/>
        </w:rPr>
        <w:t>Reálně se zvýšila o 3,4 %, což byl nejvyšší nárůst od roku 2009.</w:t>
      </w:r>
    </w:p>
    <w:p w:rsidR="00EA567A" w:rsidRPr="00CE2DE3" w:rsidRDefault="00EA567A" w:rsidP="005F1660">
      <w:pPr>
        <w:spacing w:line="360" w:lineRule="auto"/>
        <w:jc w:val="both"/>
        <w:rPr>
          <w:rFonts w:cs="Arial"/>
          <w:bCs/>
        </w:rPr>
      </w:pPr>
    </w:p>
    <w:p w:rsidR="005F1660" w:rsidRPr="00CE2DE3" w:rsidRDefault="005F1660" w:rsidP="005F1660">
      <w:pPr>
        <w:spacing w:line="360" w:lineRule="auto"/>
        <w:jc w:val="both"/>
        <w:rPr>
          <w:rFonts w:cs="Arial"/>
          <w:bCs/>
        </w:rPr>
      </w:pPr>
      <w:r w:rsidRPr="00CE2DE3">
        <w:rPr>
          <w:rFonts w:cs="Arial"/>
          <w:bCs/>
        </w:rPr>
        <w:tab/>
        <w:t>Součástí pravidelně publikovaných dat Českého statistického úřadu o průměrných mzdách byl i medián.</w:t>
      </w:r>
      <w:r w:rsidRPr="00CE2DE3">
        <w:rPr>
          <w:rFonts w:cs="Arial"/>
          <w:b/>
          <w:bCs/>
        </w:rPr>
        <w:t xml:space="preserve"> Medián mezd </w:t>
      </w:r>
      <w:r w:rsidRPr="00CE2DE3">
        <w:rPr>
          <w:rFonts w:cs="Arial"/>
          <w:bCs/>
        </w:rPr>
        <w:t xml:space="preserve">(prostřední hodnota mzdového rozdělení) </w:t>
      </w:r>
      <w:r w:rsidRPr="00CE2DE3">
        <w:rPr>
          <w:rFonts w:cs="Arial"/>
          <w:b/>
          <w:bCs/>
        </w:rPr>
        <w:t xml:space="preserve">dosáhl </w:t>
      </w:r>
      <w:r w:rsidRPr="00CE2DE3">
        <w:rPr>
          <w:rFonts w:cs="Arial"/>
          <w:bCs/>
        </w:rPr>
        <w:t xml:space="preserve">ve 3. čtvrtletí letošního roku </w:t>
      </w:r>
      <w:r w:rsidRPr="00CE2DE3">
        <w:rPr>
          <w:rFonts w:cs="Arial"/>
          <w:b/>
          <w:bCs/>
        </w:rPr>
        <w:t xml:space="preserve">úrovně 22 531 Kč. Proti stejnému období předchozího roku vzrostl nominálně o 3,9 % a reálně o 3,5 %. Medián mezd byl </w:t>
      </w:r>
      <w:r w:rsidRPr="00CE2DE3">
        <w:rPr>
          <w:rFonts w:cs="Arial"/>
          <w:bCs/>
        </w:rPr>
        <w:t xml:space="preserve">ve sledovaném období </w:t>
      </w:r>
      <w:r w:rsidRPr="00CE2DE3">
        <w:rPr>
          <w:rFonts w:cs="Arial"/>
          <w:b/>
          <w:bCs/>
        </w:rPr>
        <w:t>nižší o 3 541 Kč než průměrná mzda.</w:t>
      </w:r>
      <w:r w:rsidRPr="00CE2DE3">
        <w:rPr>
          <w:rFonts w:cs="Arial"/>
          <w:bCs/>
        </w:rPr>
        <w:t xml:space="preserve"> Medián mezd žen činil 20 014 Kč, medián mezd mužů byl o 4 745 Kč vyšší a dosáhl úrovně 24 759 Kč.</w:t>
      </w:r>
    </w:p>
    <w:p w:rsidR="005F1660" w:rsidRPr="00CE2DE3" w:rsidRDefault="005F1660" w:rsidP="005F1660">
      <w:pPr>
        <w:spacing w:line="360" w:lineRule="auto"/>
        <w:ind w:firstLine="851"/>
        <w:jc w:val="both"/>
        <w:rPr>
          <w:rFonts w:cs="Arial"/>
        </w:rPr>
      </w:pPr>
    </w:p>
    <w:p w:rsidR="005F1660" w:rsidRPr="00CE2DE3" w:rsidRDefault="005F1660" w:rsidP="005F1660">
      <w:pPr>
        <w:ind w:left="851"/>
        <w:jc w:val="both"/>
        <w:rPr>
          <w:rFonts w:cs="Arial"/>
          <w:bCs/>
        </w:rPr>
      </w:pPr>
      <w:r w:rsidRPr="00CE2DE3">
        <w:rPr>
          <w:rFonts w:cs="Arial"/>
        </w:rPr>
        <w:t>Informační systém o průměrném výdělku (ISPV) MPSV, který na základě výběrového šetření doplňuje mzdové statistiky ČSÚ, poskytuje řadu detailnějších statistik o mzdách (platech) zaměstnanců. Podle jeho výstupů za 3. čtvrtletí 2015 činil medián hrubé měsíční mzdy ve mzdové sféře 22 812 Kč a v platové sféře 25 209 Kč. Největší rozdíl mezi průměrnou mzdou a mediánem byl zaznamenán v odvětví „peněžnictví a pojišťovnictví“ - 11 877 Kč, což svědčí o výrazných rozdílech ve mzdách jednotlivých zaměstnanců tohoto odvětví. Opačná situace, tedy velmi malá diferenciace platů, byla pozorována u odvětví „vzdělávání“ platové sféry, ve které byl medián platu o 687 Kč vyšší než průměrný plat a činil 24 830 Kč.</w:t>
      </w:r>
    </w:p>
    <w:p w:rsidR="005F1660" w:rsidRPr="00CE2DE3" w:rsidRDefault="005F1660" w:rsidP="005F1660">
      <w:pPr>
        <w:spacing w:line="360" w:lineRule="auto"/>
        <w:ind w:firstLine="851"/>
        <w:jc w:val="both"/>
        <w:rPr>
          <w:rFonts w:cs="Arial"/>
          <w:bCs/>
        </w:rPr>
      </w:pPr>
    </w:p>
    <w:p w:rsidR="005F1660" w:rsidRPr="00CE2DE3" w:rsidRDefault="005F1660" w:rsidP="005F1660">
      <w:pPr>
        <w:spacing w:line="360" w:lineRule="auto"/>
        <w:jc w:val="both"/>
        <w:rPr>
          <w:rFonts w:cs="Arial"/>
        </w:rPr>
      </w:pPr>
    </w:p>
    <w:p w:rsidR="005F1660" w:rsidRPr="00CE2DE3" w:rsidRDefault="005F1660" w:rsidP="005F1660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</w:r>
      <w:r w:rsidRPr="00CE2DE3">
        <w:rPr>
          <w:rFonts w:cs="Arial"/>
          <w:b/>
          <w:bCs/>
        </w:rPr>
        <w:t>Výše průměrné</w:t>
      </w:r>
      <w:r w:rsidRPr="00CE2DE3">
        <w:rPr>
          <w:rFonts w:cs="Arial"/>
          <w:bCs/>
        </w:rPr>
        <w:t xml:space="preserve"> </w:t>
      </w:r>
      <w:r w:rsidRPr="00CE2DE3">
        <w:rPr>
          <w:rFonts w:cs="Arial"/>
        </w:rPr>
        <w:t>měsíční</w:t>
      </w:r>
      <w:r w:rsidRPr="00CE2DE3">
        <w:rPr>
          <w:rFonts w:cs="Arial"/>
          <w:bCs/>
        </w:rPr>
        <w:t xml:space="preserve"> </w:t>
      </w:r>
      <w:r w:rsidRPr="00CE2DE3">
        <w:rPr>
          <w:rFonts w:cs="Arial"/>
          <w:b/>
          <w:bCs/>
        </w:rPr>
        <w:t xml:space="preserve">mzdy zaměstnanců </w:t>
      </w:r>
      <w:r w:rsidRPr="0052714E">
        <w:rPr>
          <w:rFonts w:cs="Arial"/>
          <w:b/>
          <w:bCs/>
        </w:rPr>
        <w:t xml:space="preserve">pracujících </w:t>
      </w:r>
      <w:r w:rsidRPr="00CE2DE3">
        <w:rPr>
          <w:rFonts w:cs="Arial"/>
          <w:b/>
          <w:bCs/>
        </w:rPr>
        <w:t>v malých firmách</w:t>
      </w:r>
      <w:r w:rsidR="0052714E">
        <w:rPr>
          <w:rFonts w:cs="Arial"/>
          <w:b/>
          <w:bCs/>
        </w:rPr>
        <w:t xml:space="preserve"> </w:t>
      </w:r>
      <w:r w:rsidRPr="00CE2DE3">
        <w:rPr>
          <w:rFonts w:cs="Arial"/>
        </w:rPr>
        <w:t>(právnické a fyzické osoby s méně než 20 zaměstnanci)</w:t>
      </w:r>
      <w:r w:rsidRPr="00CE2DE3">
        <w:rPr>
          <w:rFonts w:cs="Arial"/>
          <w:bCs/>
        </w:rPr>
        <w:t xml:space="preserve"> </w:t>
      </w:r>
      <w:r w:rsidRPr="00CE2DE3">
        <w:rPr>
          <w:rFonts w:cs="Arial"/>
          <w:b/>
        </w:rPr>
        <w:t>podnikatelské sféry</w:t>
      </w:r>
      <w:r w:rsidR="0052714E">
        <w:rPr>
          <w:rFonts w:cs="Arial"/>
          <w:b/>
        </w:rPr>
        <w:t xml:space="preserve">           </w:t>
      </w:r>
      <w:r w:rsidRPr="00CE2DE3">
        <w:rPr>
          <w:rFonts w:cs="Arial"/>
        </w:rPr>
        <w:t xml:space="preserve"> v</w:t>
      </w:r>
      <w:r w:rsidR="003D2136">
        <w:rPr>
          <w:rFonts w:cs="Arial"/>
        </w:rPr>
        <w:t> </w:t>
      </w:r>
      <w:r w:rsidRPr="00CE2DE3">
        <w:rPr>
          <w:rFonts w:cs="Arial"/>
        </w:rPr>
        <w:t xml:space="preserve">1. – 3. čtvrtletí loňského roku </w:t>
      </w:r>
      <w:r w:rsidRPr="00CE2DE3">
        <w:rPr>
          <w:rFonts w:cs="Arial"/>
          <w:b/>
          <w:bCs/>
        </w:rPr>
        <w:t>činila 18 677 Kč, tj. 72,1 %</w:t>
      </w:r>
      <w:r w:rsidRPr="00CE2DE3">
        <w:rPr>
          <w:rFonts w:cs="Arial"/>
          <w:bCs/>
        </w:rPr>
        <w:t xml:space="preserve"> </w:t>
      </w:r>
      <w:r w:rsidRPr="00CE2DE3">
        <w:rPr>
          <w:rFonts w:cs="Arial"/>
        </w:rPr>
        <w:t xml:space="preserve">celospolečenského </w:t>
      </w:r>
      <w:r w:rsidRPr="00CE2DE3">
        <w:rPr>
          <w:rFonts w:cs="Arial"/>
          <w:b/>
          <w:bCs/>
        </w:rPr>
        <w:t>výdělkového průměru;</w:t>
      </w:r>
      <w:r w:rsidRPr="00CE2DE3">
        <w:rPr>
          <w:rFonts w:cs="Arial"/>
        </w:rPr>
        <w:t xml:space="preserve"> v porovnání se stejným obdobím roku 2014 došlo v důsledku vyšší dynamiky mezd v malých firmách ke zvýšení tohoto podílu (o 0,9 p. b.) – viz tabulku č. 4 v příloze.</w:t>
      </w:r>
    </w:p>
    <w:p w:rsidR="005F1660" w:rsidRPr="00CE2DE3" w:rsidRDefault="005F1660" w:rsidP="005F1660">
      <w:pPr>
        <w:spacing w:line="360" w:lineRule="auto"/>
        <w:jc w:val="both"/>
        <w:rPr>
          <w:rFonts w:cs="Arial"/>
        </w:rPr>
      </w:pPr>
    </w:p>
    <w:p w:rsidR="005F1660" w:rsidRPr="00CE2DE3" w:rsidRDefault="005F1660" w:rsidP="005F1660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  <w:t>Vývoj mezd v období leden – září charakterizovaly zejména následující skutečnosti:</w:t>
      </w:r>
    </w:p>
    <w:p w:rsidR="005F1660" w:rsidRPr="00CE2DE3" w:rsidRDefault="005F1660" w:rsidP="005F1660">
      <w:pPr>
        <w:ind w:firstLine="709"/>
        <w:jc w:val="both"/>
        <w:rPr>
          <w:rFonts w:cs="Arial"/>
        </w:rPr>
      </w:pPr>
    </w:p>
    <w:p w:rsidR="005F1660" w:rsidRPr="00CE2DE3" w:rsidRDefault="005F1660" w:rsidP="005F1660">
      <w:pPr>
        <w:numPr>
          <w:ilvl w:val="0"/>
          <w:numId w:val="26"/>
        </w:numPr>
        <w:spacing w:line="360" w:lineRule="auto"/>
        <w:jc w:val="both"/>
        <w:rPr>
          <w:rFonts w:cs="Arial"/>
          <w:bCs/>
        </w:rPr>
      </w:pPr>
      <w:r w:rsidRPr="00CE2DE3">
        <w:rPr>
          <w:rFonts w:cs="Arial"/>
          <w:bCs/>
        </w:rPr>
        <w:t xml:space="preserve">pokračující </w:t>
      </w:r>
      <w:r w:rsidRPr="00CE2DE3">
        <w:rPr>
          <w:rFonts w:cs="Arial"/>
          <w:b/>
          <w:bCs/>
        </w:rPr>
        <w:t>zvyšující se dynamika nárůstu průměrné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  <w:bCs/>
        </w:rPr>
        <w:t xml:space="preserve">nominální mzdy </w:t>
      </w:r>
      <w:r w:rsidRPr="00CE2DE3">
        <w:rPr>
          <w:rFonts w:cs="Arial"/>
          <w:bCs/>
        </w:rPr>
        <w:t>v národním hospodářství,</w:t>
      </w:r>
    </w:p>
    <w:p w:rsidR="005F1660" w:rsidRPr="00CE2DE3" w:rsidRDefault="005F1660" w:rsidP="00643A5A">
      <w:pPr>
        <w:numPr>
          <w:ilvl w:val="0"/>
          <w:numId w:val="26"/>
        </w:numPr>
        <w:spacing w:line="360" w:lineRule="auto"/>
        <w:jc w:val="both"/>
        <w:rPr>
          <w:rFonts w:cs="Arial"/>
          <w:b/>
          <w:bCs/>
        </w:rPr>
      </w:pPr>
      <w:r w:rsidRPr="00CE2DE3">
        <w:rPr>
          <w:rFonts w:cs="Arial"/>
          <w:b/>
          <w:bCs/>
        </w:rPr>
        <w:lastRenderedPageBreak/>
        <w:t>vyšší růst průměrného platu v nepodnikatelské sféře</w:t>
      </w:r>
      <w:r w:rsidRPr="00CE2DE3">
        <w:rPr>
          <w:rFonts w:cs="Arial"/>
          <w:bCs/>
        </w:rPr>
        <w:t xml:space="preserve"> proti průměrné mzdě ve sféře podnikatelské,</w:t>
      </w:r>
    </w:p>
    <w:p w:rsidR="005F1660" w:rsidRPr="00CE2DE3" w:rsidRDefault="005F1660" w:rsidP="00643A5A">
      <w:pPr>
        <w:numPr>
          <w:ilvl w:val="0"/>
          <w:numId w:val="26"/>
        </w:numPr>
        <w:spacing w:line="360" w:lineRule="auto"/>
        <w:jc w:val="both"/>
        <w:rPr>
          <w:rFonts w:cs="Arial"/>
        </w:rPr>
      </w:pPr>
      <w:r w:rsidRPr="00CE2DE3">
        <w:rPr>
          <w:rFonts w:cs="Arial"/>
          <w:b/>
          <w:bCs/>
        </w:rPr>
        <w:t>nárůst kupní síly výdělků,</w:t>
      </w:r>
      <w:r w:rsidRPr="00CE2DE3">
        <w:rPr>
          <w:rFonts w:cs="Arial"/>
          <w:bCs/>
        </w:rPr>
        <w:t xml:space="preserve"> </w:t>
      </w:r>
      <w:r w:rsidRPr="00CE2DE3">
        <w:rPr>
          <w:rFonts w:cs="Arial"/>
        </w:rPr>
        <w:t xml:space="preserve">jak </w:t>
      </w:r>
      <w:r w:rsidRPr="00CE2DE3">
        <w:rPr>
          <w:rFonts w:cs="Arial"/>
          <w:b/>
        </w:rPr>
        <w:t xml:space="preserve">v podnikatelské sféře, </w:t>
      </w:r>
      <w:r w:rsidRPr="00CE2DE3">
        <w:rPr>
          <w:rFonts w:cs="Arial"/>
        </w:rPr>
        <w:t>tak i </w:t>
      </w:r>
      <w:r w:rsidRPr="00CE2DE3">
        <w:rPr>
          <w:rFonts w:cs="Arial"/>
          <w:b/>
        </w:rPr>
        <w:t>v nepodnikatelské sféře,</w:t>
      </w:r>
    </w:p>
    <w:p w:rsidR="005F1660" w:rsidRPr="00CE2DE3" w:rsidRDefault="005F1660" w:rsidP="00643A5A">
      <w:pPr>
        <w:numPr>
          <w:ilvl w:val="0"/>
          <w:numId w:val="26"/>
        </w:numPr>
        <w:spacing w:line="360" w:lineRule="auto"/>
        <w:jc w:val="both"/>
        <w:rPr>
          <w:rFonts w:cs="Arial"/>
        </w:rPr>
      </w:pPr>
      <w:r w:rsidRPr="00CE2DE3">
        <w:rPr>
          <w:rFonts w:cs="Arial"/>
          <w:bCs/>
        </w:rPr>
        <w:t xml:space="preserve">příznivý vývoj produktivity práce a mezd, tzn. </w:t>
      </w:r>
      <w:r w:rsidRPr="00CE2DE3">
        <w:rPr>
          <w:rFonts w:cs="Arial"/>
          <w:b/>
          <w:bCs/>
        </w:rPr>
        <w:t>nárůst produktivity práce vyšší než byla dynamika růstu mezd,</w:t>
      </w:r>
    </w:p>
    <w:p w:rsidR="005F1660" w:rsidRPr="00CE2DE3" w:rsidRDefault="005F1660" w:rsidP="00643A5A">
      <w:pPr>
        <w:numPr>
          <w:ilvl w:val="0"/>
          <w:numId w:val="26"/>
        </w:num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 xml:space="preserve">mírné </w:t>
      </w:r>
      <w:r w:rsidRPr="00CE2DE3">
        <w:rPr>
          <w:rFonts w:cs="Arial"/>
          <w:b/>
        </w:rPr>
        <w:t>snížení</w:t>
      </w:r>
      <w:r w:rsidRPr="00CE2DE3">
        <w:rPr>
          <w:rFonts w:cs="Arial"/>
        </w:rPr>
        <w:t xml:space="preserve"> jak </w:t>
      </w:r>
      <w:r w:rsidRPr="00CE2DE3">
        <w:rPr>
          <w:rFonts w:cs="Arial"/>
          <w:b/>
        </w:rPr>
        <w:t>meziodvětvové diferenciace,</w:t>
      </w:r>
      <w:r w:rsidRPr="00CE2DE3">
        <w:rPr>
          <w:rFonts w:cs="Arial"/>
        </w:rPr>
        <w:t xml:space="preserve"> tak i </w:t>
      </w:r>
      <w:r w:rsidRPr="00CE2DE3">
        <w:rPr>
          <w:rFonts w:cs="Arial"/>
          <w:b/>
        </w:rPr>
        <w:t xml:space="preserve">územní diferenciace mezd zaměstnanců </w:t>
      </w:r>
      <w:r w:rsidRPr="00CE2DE3">
        <w:rPr>
          <w:rFonts w:cs="Arial"/>
        </w:rPr>
        <w:t>(na makroúrovni).</w:t>
      </w:r>
    </w:p>
    <w:p w:rsidR="00CC651A" w:rsidRPr="00CE2DE3" w:rsidRDefault="00CC651A" w:rsidP="005F1660">
      <w:pPr>
        <w:spacing w:line="360" w:lineRule="auto"/>
        <w:jc w:val="both"/>
        <w:rPr>
          <w:rFonts w:cs="Arial"/>
        </w:rPr>
      </w:pPr>
    </w:p>
    <w:p w:rsidR="005F1660" w:rsidRPr="00CE2DE3" w:rsidRDefault="005F1660" w:rsidP="005F1660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</w:r>
      <w:r w:rsidRPr="00CE2DE3">
        <w:rPr>
          <w:rFonts w:cs="Arial"/>
          <w:b/>
          <w:bCs/>
        </w:rPr>
        <w:t xml:space="preserve">Nárůst </w:t>
      </w:r>
      <w:r w:rsidRPr="00CE2DE3">
        <w:rPr>
          <w:rFonts w:cs="Arial"/>
          <w:bCs/>
        </w:rPr>
        <w:t>průměrné</w:t>
      </w:r>
      <w:r w:rsidRPr="00CE2DE3">
        <w:rPr>
          <w:rFonts w:cs="Arial"/>
          <w:b/>
          <w:bCs/>
        </w:rPr>
        <w:t xml:space="preserve"> reálné hodnoty mezd </w:t>
      </w:r>
      <w:r w:rsidRPr="00CE2DE3">
        <w:rPr>
          <w:rFonts w:cs="Arial"/>
          <w:bCs/>
        </w:rPr>
        <w:t>(2,8 %)</w:t>
      </w:r>
      <w:r w:rsidRPr="00CE2DE3">
        <w:rPr>
          <w:rFonts w:cs="Arial"/>
          <w:b/>
          <w:bCs/>
        </w:rPr>
        <w:t xml:space="preserve"> byl vyšší </w:t>
      </w:r>
      <w:r w:rsidRPr="00CE2DE3">
        <w:rPr>
          <w:rFonts w:cs="Arial"/>
          <w:bCs/>
        </w:rPr>
        <w:t>o 0,8 p. </w:t>
      </w:r>
      <w:r w:rsidRPr="00CE2DE3">
        <w:rPr>
          <w:rFonts w:cs="Arial"/>
        </w:rPr>
        <w:t>b. proti dynamice ve stejném období roku 2014.</w:t>
      </w:r>
      <w:r w:rsidRPr="00CE2DE3">
        <w:rPr>
          <w:rFonts w:cs="Arial"/>
          <w:bCs/>
        </w:rPr>
        <w:t xml:space="preserve"> </w:t>
      </w:r>
      <w:r w:rsidRPr="00CE2DE3">
        <w:rPr>
          <w:rFonts w:cs="Arial"/>
          <w:b/>
          <w:bCs/>
        </w:rPr>
        <w:t>Na posílení koupěschopné poptávky</w:t>
      </w:r>
      <w:r w:rsidRPr="00CE2DE3">
        <w:rPr>
          <w:rFonts w:cs="Arial"/>
          <w:bCs/>
        </w:rPr>
        <w:t xml:space="preserve"> působila kromě </w:t>
      </w:r>
      <w:r w:rsidRPr="00CE2DE3">
        <w:rPr>
          <w:rFonts w:cs="Arial"/>
          <w:b/>
          <w:bCs/>
        </w:rPr>
        <w:t>vyšší dynamiky nominálního nárůstu mezd</w:t>
      </w:r>
      <w:r w:rsidRPr="00CE2DE3">
        <w:rPr>
          <w:rFonts w:cs="Arial"/>
          <w:bCs/>
        </w:rPr>
        <w:t xml:space="preserve"> stále ještě </w:t>
      </w:r>
      <w:r w:rsidRPr="00CE2DE3">
        <w:rPr>
          <w:rFonts w:cs="Arial"/>
          <w:b/>
          <w:bCs/>
        </w:rPr>
        <w:t>velmi nízká dynamika spotřebitelských cen</w:t>
      </w:r>
      <w:r w:rsidRPr="00CE2DE3">
        <w:rPr>
          <w:rFonts w:cs="Arial"/>
          <w:bCs/>
        </w:rPr>
        <w:t xml:space="preserve"> (</w:t>
      </w:r>
      <w:r w:rsidRPr="00CE2DE3">
        <w:rPr>
          <w:rFonts w:cs="Arial"/>
          <w:bCs/>
          <w:szCs w:val="24"/>
        </w:rPr>
        <w:t xml:space="preserve">podrobněji viz část 2 materiálu). </w:t>
      </w:r>
      <w:r w:rsidRPr="00CE2DE3">
        <w:rPr>
          <w:rFonts w:cs="Arial"/>
          <w:b/>
          <w:bCs/>
        </w:rPr>
        <w:t>Zvýšení průměrné reálné mzdy</w:t>
      </w:r>
      <w:r w:rsidRPr="00CE2DE3">
        <w:rPr>
          <w:rFonts w:cs="Arial"/>
          <w:bCs/>
        </w:rPr>
        <w:t xml:space="preserve"> v 1. – 3. čtvrtletí bylo</w:t>
      </w:r>
      <w:r w:rsidRPr="00CE2DE3">
        <w:rPr>
          <w:rFonts w:cs="Arial"/>
          <w:b/>
          <w:bCs/>
        </w:rPr>
        <w:t xml:space="preserve"> </w:t>
      </w:r>
      <w:r w:rsidRPr="00CE2DE3">
        <w:rPr>
          <w:rFonts w:cs="Arial"/>
          <w:bCs/>
        </w:rPr>
        <w:t>zaznamenáno</w:t>
      </w:r>
      <w:r w:rsidRPr="00CE2DE3">
        <w:rPr>
          <w:rFonts w:cs="Arial"/>
          <w:b/>
          <w:bCs/>
        </w:rPr>
        <w:t xml:space="preserve"> v 17 z 19 </w:t>
      </w:r>
      <w:r w:rsidRPr="00CE2DE3">
        <w:rPr>
          <w:rFonts w:cs="Arial"/>
        </w:rPr>
        <w:t xml:space="preserve">sledovaných </w:t>
      </w:r>
      <w:r w:rsidRPr="00CE2DE3">
        <w:rPr>
          <w:rFonts w:cs="Arial"/>
          <w:b/>
          <w:bCs/>
        </w:rPr>
        <w:t>odvětvových agregací CZ</w:t>
      </w:r>
      <w:r w:rsidRPr="00CE2DE3">
        <w:rPr>
          <w:rFonts w:cs="Arial"/>
          <w:b/>
          <w:bCs/>
        </w:rPr>
        <w:noBreakHyphen/>
        <w:t xml:space="preserve">NACE a v regionálním členění ve všech 14 krajích </w:t>
      </w:r>
      <w:r w:rsidRPr="00CE2DE3">
        <w:rPr>
          <w:rFonts w:cs="Arial"/>
        </w:rPr>
        <w:t>(viz dále).</w:t>
      </w:r>
    </w:p>
    <w:p w:rsidR="005F1660" w:rsidRPr="00CE2DE3" w:rsidRDefault="005F1660" w:rsidP="005F1660">
      <w:pPr>
        <w:spacing w:line="360" w:lineRule="auto"/>
        <w:jc w:val="both"/>
        <w:rPr>
          <w:rFonts w:cs="Arial"/>
        </w:rPr>
      </w:pPr>
    </w:p>
    <w:p w:rsidR="005F1660" w:rsidRPr="00CE2DE3" w:rsidRDefault="005F1660" w:rsidP="005F1660">
      <w:pPr>
        <w:spacing w:line="360" w:lineRule="auto"/>
        <w:jc w:val="both"/>
        <w:rPr>
          <w:rFonts w:eastAsia="Calibri" w:cs="Arial"/>
          <w:szCs w:val="24"/>
          <w:lang w:eastAsia="en-US"/>
        </w:rPr>
      </w:pPr>
      <w:r w:rsidRPr="00CE2DE3">
        <w:rPr>
          <w:rFonts w:cs="Arial"/>
        </w:rPr>
        <w:tab/>
      </w:r>
      <w:r w:rsidRPr="00CE2DE3">
        <w:rPr>
          <w:rFonts w:cs="Arial"/>
          <w:b/>
          <w:szCs w:val="24"/>
        </w:rPr>
        <w:t xml:space="preserve">Přírůstek kupní síly výdělků byl </w:t>
      </w:r>
      <w:r w:rsidRPr="00CE2DE3">
        <w:rPr>
          <w:rFonts w:cs="Arial"/>
          <w:szCs w:val="24"/>
        </w:rPr>
        <w:t xml:space="preserve">v hodnoceném období </w:t>
      </w:r>
      <w:r w:rsidRPr="00CE2DE3">
        <w:rPr>
          <w:rFonts w:cs="Arial"/>
          <w:b/>
          <w:szCs w:val="24"/>
        </w:rPr>
        <w:t>nižší než vykázaná produktivita práce.</w:t>
      </w:r>
      <w:r w:rsidRPr="00CE2DE3">
        <w:rPr>
          <w:rFonts w:eastAsia="Calibri" w:cs="Arial"/>
          <w:szCs w:val="24"/>
          <w:lang w:eastAsia="en-US"/>
        </w:rPr>
        <w:t xml:space="preserve"> Dynamika úhrnné </w:t>
      </w:r>
      <w:r w:rsidRPr="00CE2DE3">
        <w:rPr>
          <w:rFonts w:eastAsia="Calibri" w:cs="Arial"/>
          <w:b/>
          <w:bCs/>
          <w:szCs w:val="24"/>
          <w:lang w:eastAsia="en-US"/>
        </w:rPr>
        <w:t xml:space="preserve">produktivity práce </w:t>
      </w:r>
      <w:r w:rsidRPr="00CE2DE3">
        <w:rPr>
          <w:rFonts w:eastAsia="Calibri" w:cs="Arial"/>
          <w:szCs w:val="24"/>
          <w:lang w:eastAsia="en-US"/>
        </w:rPr>
        <w:t>(v pojetí hrubého domácího produktu ve stálých cenách na 1 pracovníka v národním hospodářství)</w:t>
      </w:r>
      <w:r w:rsidRPr="00CE2DE3">
        <w:rPr>
          <w:rFonts w:eastAsia="Calibri" w:cs="Arial"/>
          <w:bCs/>
          <w:szCs w:val="24"/>
          <w:lang w:eastAsia="en-US"/>
        </w:rPr>
        <w:t xml:space="preserve"> </w:t>
      </w:r>
      <w:r w:rsidRPr="00CE2DE3">
        <w:rPr>
          <w:rFonts w:eastAsia="Calibri" w:cs="Arial"/>
          <w:b/>
          <w:bCs/>
          <w:szCs w:val="24"/>
          <w:lang w:eastAsia="en-US"/>
        </w:rPr>
        <w:t>vzrostla</w:t>
      </w:r>
      <w:r w:rsidRPr="00CE2DE3">
        <w:rPr>
          <w:rFonts w:eastAsia="Calibri" w:cs="Arial"/>
          <w:bCs/>
          <w:szCs w:val="24"/>
          <w:lang w:eastAsia="en-US"/>
        </w:rPr>
        <w:t xml:space="preserve"> ve sledovaném období meziročně </w:t>
      </w:r>
      <w:r w:rsidRPr="00CE2DE3">
        <w:rPr>
          <w:rFonts w:eastAsia="Calibri" w:cs="Arial"/>
          <w:b/>
          <w:bCs/>
          <w:szCs w:val="24"/>
          <w:lang w:eastAsia="en-US"/>
        </w:rPr>
        <w:t>o 3,3 %</w:t>
      </w:r>
      <w:r w:rsidRPr="00CE2DE3">
        <w:rPr>
          <w:rFonts w:eastAsia="Calibri" w:cs="Arial"/>
          <w:bCs/>
          <w:szCs w:val="24"/>
          <w:lang w:eastAsia="en-US"/>
        </w:rPr>
        <w:t xml:space="preserve"> a byla o 0,5 p. b. vyšší než činil nárůst průměrné reálné mzdy –</w:t>
      </w:r>
      <w:r w:rsidRPr="00CE2DE3">
        <w:rPr>
          <w:rFonts w:eastAsia="Calibri" w:cs="Arial"/>
          <w:szCs w:val="24"/>
          <w:lang w:eastAsia="en-US"/>
        </w:rPr>
        <w:t xml:space="preserve"> podrobný vývoj za jednotlivá čtvrtletí viz graf č. 2 v příloze.</w:t>
      </w:r>
    </w:p>
    <w:p w:rsidR="005F1660" w:rsidRPr="00CE2DE3" w:rsidRDefault="005F1660" w:rsidP="005F1660">
      <w:pPr>
        <w:spacing w:line="360" w:lineRule="auto"/>
        <w:jc w:val="both"/>
        <w:rPr>
          <w:rFonts w:eastAsia="Calibri" w:cs="Arial"/>
          <w:szCs w:val="24"/>
          <w:lang w:eastAsia="en-US"/>
        </w:rPr>
      </w:pPr>
    </w:p>
    <w:p w:rsidR="005F1660" w:rsidRPr="00CE2DE3" w:rsidRDefault="005F1660" w:rsidP="005F1660">
      <w:pPr>
        <w:spacing w:line="360" w:lineRule="auto"/>
        <w:jc w:val="both"/>
        <w:rPr>
          <w:rFonts w:cs="Arial"/>
          <w:b/>
          <w:bCs/>
        </w:rPr>
      </w:pPr>
      <w:r w:rsidRPr="00CE2DE3">
        <w:rPr>
          <w:rFonts w:eastAsia="Calibri" w:cs="Arial"/>
          <w:szCs w:val="24"/>
          <w:lang w:eastAsia="en-US"/>
        </w:rPr>
        <w:tab/>
      </w:r>
      <w:r w:rsidRPr="00CE2DE3">
        <w:rPr>
          <w:rFonts w:cs="Arial"/>
          <w:b/>
        </w:rPr>
        <w:t xml:space="preserve">Relace </w:t>
      </w:r>
      <w:r w:rsidRPr="00CE2DE3">
        <w:rPr>
          <w:rFonts w:cs="Arial"/>
        </w:rPr>
        <w:t>produktivity práce a mezd</w:t>
      </w:r>
      <w:r w:rsidRPr="00CE2DE3">
        <w:rPr>
          <w:rFonts w:cs="Arial"/>
          <w:b/>
        </w:rPr>
        <w:t xml:space="preserve"> se příznivě promítla do </w:t>
      </w:r>
      <w:r w:rsidRPr="00CE2DE3">
        <w:rPr>
          <w:rFonts w:cs="Arial"/>
          <w:b/>
          <w:bCs/>
        </w:rPr>
        <w:t>vývoje jednotkových mzdových nákladů</w:t>
      </w:r>
      <w:r w:rsidRPr="00CE2DE3">
        <w:rPr>
          <w:rFonts w:cs="Arial"/>
        </w:rPr>
        <w:t>,</w:t>
      </w:r>
      <w:r w:rsidRPr="00CE2DE3">
        <w:rPr>
          <w:rFonts w:cs="Arial"/>
          <w:bCs/>
        </w:rPr>
        <w:t xml:space="preserve"> </w:t>
      </w:r>
      <w:r w:rsidRPr="00CE2DE3">
        <w:rPr>
          <w:rFonts w:cs="Arial"/>
        </w:rPr>
        <w:t xml:space="preserve">které v meziročním pohledu za leden – září </w:t>
      </w:r>
      <w:r w:rsidRPr="00CE2DE3">
        <w:rPr>
          <w:rFonts w:cs="Arial"/>
          <w:b/>
          <w:bCs/>
        </w:rPr>
        <w:t>poklesly nominálně o 0,1 % a reálně o 0,5 %. Nárůst mezd tak nepředstavoval</w:t>
      </w:r>
      <w:r w:rsidRPr="00CE2DE3">
        <w:rPr>
          <w:rFonts w:cs="Arial"/>
          <w:bCs/>
        </w:rPr>
        <w:t xml:space="preserve"> </w:t>
      </w:r>
      <w:r w:rsidRPr="00CE2DE3">
        <w:rPr>
          <w:rFonts w:cs="Arial"/>
          <w:b/>
          <w:bCs/>
        </w:rPr>
        <w:t>riziko</w:t>
      </w:r>
      <w:r w:rsidRPr="00CE2DE3">
        <w:rPr>
          <w:rFonts w:cs="Arial"/>
        </w:rPr>
        <w:t xml:space="preserve"> </w:t>
      </w:r>
      <w:r w:rsidRPr="00CE2DE3">
        <w:rPr>
          <w:rFonts w:cs="Arial"/>
          <w:bCs/>
        </w:rPr>
        <w:t>z pohledu</w:t>
      </w:r>
      <w:r w:rsidRPr="00CE2DE3">
        <w:rPr>
          <w:rFonts w:cs="Arial"/>
          <w:b/>
          <w:bCs/>
        </w:rPr>
        <w:t xml:space="preserve"> udržení</w:t>
      </w:r>
      <w:r w:rsidRPr="00CE2DE3">
        <w:rPr>
          <w:rFonts w:cs="Arial"/>
          <w:b/>
        </w:rPr>
        <w:t xml:space="preserve"> </w:t>
      </w:r>
      <w:r w:rsidRPr="00CE2DE3">
        <w:rPr>
          <w:rFonts w:cs="Arial"/>
          <w:b/>
          <w:bCs/>
        </w:rPr>
        <w:t>konkurenceschopnosti tuzemské produkce.</w:t>
      </w:r>
    </w:p>
    <w:p w:rsidR="005F1660" w:rsidRPr="00CE2DE3" w:rsidRDefault="005F1660" w:rsidP="005F1660">
      <w:pPr>
        <w:spacing w:line="360" w:lineRule="auto"/>
        <w:jc w:val="both"/>
        <w:rPr>
          <w:rFonts w:cs="Arial"/>
          <w:b/>
          <w:bCs/>
        </w:rPr>
      </w:pPr>
    </w:p>
    <w:p w:rsidR="005F1660" w:rsidRPr="00CE2DE3" w:rsidRDefault="005F1660" w:rsidP="005F1660">
      <w:pPr>
        <w:spacing w:line="360" w:lineRule="auto"/>
        <w:jc w:val="both"/>
        <w:rPr>
          <w:rFonts w:cs="Arial"/>
          <w:b/>
        </w:rPr>
      </w:pPr>
      <w:r w:rsidRPr="00CE2DE3">
        <w:rPr>
          <w:rFonts w:cs="Arial"/>
          <w:b/>
          <w:bCs/>
        </w:rPr>
        <w:tab/>
        <w:t xml:space="preserve">Reálná hodnota objemu mzdových prostředků </w:t>
      </w:r>
      <w:r w:rsidRPr="00CE2DE3">
        <w:rPr>
          <w:rFonts w:cs="Arial"/>
        </w:rPr>
        <w:t xml:space="preserve">zúčtovaných k výplatě </w:t>
      </w:r>
      <w:r w:rsidRPr="00CE2DE3">
        <w:rPr>
          <w:rFonts w:cs="Arial"/>
          <w:b/>
          <w:bCs/>
        </w:rPr>
        <w:t xml:space="preserve">vzrostla </w:t>
      </w:r>
      <w:r w:rsidRPr="00CE2DE3">
        <w:rPr>
          <w:rFonts w:cs="Arial"/>
        </w:rPr>
        <w:t>oproti 1. – 3. čtvrtletí 2014</w:t>
      </w:r>
      <w:r w:rsidRPr="00CE2DE3">
        <w:rPr>
          <w:rFonts w:cs="Arial"/>
          <w:b/>
          <w:bCs/>
        </w:rPr>
        <w:t xml:space="preserve"> o 4,7 %; mzdová náročnost HDP</w:t>
      </w:r>
      <w:r w:rsidRPr="00CE2DE3">
        <w:rPr>
          <w:rFonts w:cs="Arial"/>
        </w:rPr>
        <w:t xml:space="preserve"> (relace objemu mzdových prostředků k objemu hrubého domácího produktu v běžných cenách) </w:t>
      </w:r>
      <w:r w:rsidRPr="00CE2DE3">
        <w:rPr>
          <w:rFonts w:cs="Arial"/>
          <w:b/>
        </w:rPr>
        <w:t>se</w:t>
      </w:r>
      <w:r w:rsidRPr="00CE2DE3">
        <w:rPr>
          <w:rFonts w:cs="Arial"/>
        </w:rPr>
        <w:t xml:space="preserve"> ve stejném porovnání </w:t>
      </w:r>
      <w:r w:rsidRPr="00CE2DE3">
        <w:rPr>
          <w:rFonts w:cs="Arial"/>
          <w:b/>
        </w:rPr>
        <w:t>snížila</w:t>
      </w:r>
      <w:r w:rsidRPr="00CE2DE3">
        <w:rPr>
          <w:rFonts w:cs="Arial"/>
        </w:rPr>
        <w:t xml:space="preserve"> o 0,1 p. b.</w:t>
      </w:r>
      <w:r w:rsidRPr="00CE2DE3">
        <w:rPr>
          <w:rFonts w:cs="Arial"/>
          <w:b/>
        </w:rPr>
        <w:t xml:space="preserve"> na 26,6 %.</w:t>
      </w:r>
    </w:p>
    <w:p w:rsidR="005F1660" w:rsidRPr="00CE2DE3" w:rsidRDefault="005F1660" w:rsidP="005F1660">
      <w:pPr>
        <w:spacing w:line="360" w:lineRule="auto"/>
        <w:jc w:val="both"/>
        <w:rPr>
          <w:rFonts w:cs="Arial"/>
        </w:rPr>
      </w:pPr>
    </w:p>
    <w:p w:rsidR="005F1660" w:rsidRPr="00CE2DE3" w:rsidRDefault="005F1660" w:rsidP="005F1660">
      <w:pPr>
        <w:ind w:left="708"/>
        <w:jc w:val="both"/>
        <w:rPr>
          <w:rFonts w:cs="Arial"/>
          <w:bCs/>
        </w:rPr>
      </w:pPr>
      <w:r w:rsidRPr="00CE2DE3">
        <w:rPr>
          <w:rFonts w:cs="Arial"/>
        </w:rPr>
        <w:lastRenderedPageBreak/>
        <w:t xml:space="preserve">Část mezd, které svým zaměstnancům dlužili insolventní zaměstnavatelé v režimu konkurzního řízení, jim byla vyplacena Úřadem práce ČR </w:t>
      </w:r>
      <w:r w:rsidRPr="00CE2DE3">
        <w:rPr>
          <w:rFonts w:cs="Arial"/>
          <w:b/>
          <w:bCs/>
        </w:rPr>
        <w:t xml:space="preserve">na základě zákona </w:t>
      </w:r>
      <w:r w:rsidRPr="00CE2DE3">
        <w:rPr>
          <w:rFonts w:cs="Arial"/>
        </w:rPr>
        <w:t xml:space="preserve">č. 118/2000 Sb., </w:t>
      </w:r>
      <w:r w:rsidRPr="00CE2DE3">
        <w:rPr>
          <w:rFonts w:cs="Arial"/>
          <w:b/>
          <w:bCs/>
        </w:rPr>
        <w:t xml:space="preserve">o ochraně zaměstnanců při platební neschopnosti zaměstnavatele </w:t>
      </w:r>
      <w:r w:rsidRPr="00CE2DE3">
        <w:rPr>
          <w:rFonts w:cs="Arial"/>
        </w:rPr>
        <w:t>a o změně některých zákonů, ve znění pozdějších předpisů.</w:t>
      </w:r>
      <w:r w:rsidRPr="00CE2DE3">
        <w:rPr>
          <w:rFonts w:cs="Arial"/>
          <w:b/>
          <w:bCs/>
        </w:rPr>
        <w:t xml:space="preserve"> </w:t>
      </w:r>
      <w:r w:rsidRPr="00CE2DE3">
        <w:rPr>
          <w:rFonts w:cs="Arial"/>
          <w:bCs/>
        </w:rPr>
        <w:t xml:space="preserve">Celkem bylo takto </w:t>
      </w:r>
      <w:r w:rsidRPr="00CE2DE3">
        <w:rPr>
          <w:rFonts w:cs="Arial"/>
          <w:b/>
        </w:rPr>
        <w:t xml:space="preserve">k 30. 9. 2015 poskytnuto 189,0 mil. Kč </w:t>
      </w:r>
      <w:r w:rsidRPr="00CE2DE3">
        <w:rPr>
          <w:rFonts w:cs="Arial"/>
          <w:bCs/>
        </w:rPr>
        <w:t>(o 123,2 mil. Kč méně než v 1. </w:t>
      </w:r>
      <w:r w:rsidRPr="00CE2DE3">
        <w:rPr>
          <w:rFonts w:cs="Arial"/>
          <w:bCs/>
        </w:rPr>
        <w:noBreakHyphen/>
        <w:t> </w:t>
      </w:r>
      <w:r w:rsidRPr="00CE2DE3">
        <w:rPr>
          <w:rFonts w:cs="Arial"/>
        </w:rPr>
        <w:t xml:space="preserve">3. čtvrtletí </w:t>
      </w:r>
      <w:r w:rsidRPr="00CE2DE3">
        <w:rPr>
          <w:rFonts w:cs="Arial"/>
          <w:bCs/>
        </w:rPr>
        <w:t>2014), z toho nejvíce v hl. m. Praze (47,3 mil. Kč), v Jihomoravském kraji (46,0 mil. Kč), Středočeském kraji (17,6 mil. Kč) a Moravskoslezském kraji (16,7 mil. Kč).</w:t>
      </w:r>
    </w:p>
    <w:p w:rsidR="005F1660" w:rsidRPr="00CE2DE3" w:rsidRDefault="005F1660" w:rsidP="00CC651A">
      <w:pPr>
        <w:spacing w:line="360" w:lineRule="auto"/>
        <w:jc w:val="both"/>
        <w:rPr>
          <w:rFonts w:cs="Arial"/>
          <w:bCs/>
        </w:rPr>
      </w:pPr>
    </w:p>
    <w:p w:rsidR="00CC651A" w:rsidRPr="00CE2DE3" w:rsidRDefault="00CC651A" w:rsidP="00CC651A">
      <w:pPr>
        <w:spacing w:line="360" w:lineRule="auto"/>
        <w:jc w:val="both"/>
        <w:rPr>
          <w:rFonts w:cs="Arial"/>
          <w:bCs/>
        </w:rPr>
      </w:pPr>
    </w:p>
    <w:p w:rsidR="005F1660" w:rsidRPr="00CE2DE3" w:rsidRDefault="005F1660" w:rsidP="005F1660">
      <w:pPr>
        <w:spacing w:line="360" w:lineRule="auto"/>
        <w:jc w:val="both"/>
        <w:rPr>
          <w:rFonts w:cs="Arial"/>
          <w:bCs/>
        </w:rPr>
      </w:pPr>
      <w:r w:rsidRPr="00CE2DE3">
        <w:rPr>
          <w:rFonts w:cs="Arial"/>
          <w:b/>
        </w:rPr>
        <w:tab/>
      </w:r>
      <w:r w:rsidRPr="00CE2DE3">
        <w:rPr>
          <w:rFonts w:cs="Arial"/>
          <w:b/>
          <w:bCs/>
        </w:rPr>
        <w:t>Největší</w:t>
      </w:r>
      <w:r w:rsidRPr="00CE2DE3">
        <w:rPr>
          <w:rFonts w:cs="Arial"/>
          <w:bCs/>
        </w:rPr>
        <w:t xml:space="preserve"> meziroční nominální</w:t>
      </w:r>
      <w:r w:rsidRPr="00CE2DE3">
        <w:rPr>
          <w:rFonts w:cs="Arial"/>
          <w:b/>
          <w:bCs/>
        </w:rPr>
        <w:t xml:space="preserve"> nárůst o 5,0 % v rámci</w:t>
      </w:r>
      <w:r w:rsidRPr="00CE2DE3">
        <w:rPr>
          <w:rFonts w:cs="Arial"/>
          <w:bCs/>
        </w:rPr>
        <w:t xml:space="preserve"> </w:t>
      </w:r>
      <w:r w:rsidRPr="00CE2DE3">
        <w:rPr>
          <w:rFonts w:cs="Arial"/>
          <w:b/>
          <w:bCs/>
        </w:rPr>
        <w:t xml:space="preserve">nepodnikatelské sféry </w:t>
      </w:r>
      <w:r w:rsidRPr="00CE2DE3">
        <w:rPr>
          <w:rFonts w:cs="Arial"/>
          <w:bCs/>
        </w:rPr>
        <w:t>byl zaznamenán v odvětví</w:t>
      </w:r>
      <w:r w:rsidRPr="00CE2DE3">
        <w:rPr>
          <w:rFonts w:cs="Arial"/>
          <w:b/>
          <w:bCs/>
        </w:rPr>
        <w:t xml:space="preserve"> „zdravotní a sociální péče“</w:t>
      </w:r>
      <w:r w:rsidRPr="00CE2DE3">
        <w:rPr>
          <w:rFonts w:cs="Arial"/>
          <w:bCs/>
        </w:rPr>
        <w:t xml:space="preserve">. Uvedené zvýšení přispělo k tomu, že úroveň průměrného platu v tomto odvětví převýšila celorepublikový průměr (o 326 Kč). K ještě výraznějšímu zvýšení došlo ve zdravotních a sociálních zařízeních, jejichž zřizovatelem jsou kraje nebo města, nicméně absolutní úroveň průměrného výdělku zaměstnanců v těchto zařízeních je stále nižší (o téměř 5 tis.), než u státem spravovaných subjektů. </w:t>
      </w:r>
      <w:r w:rsidRPr="00CE2DE3">
        <w:rPr>
          <w:rFonts w:cs="Arial"/>
          <w:b/>
          <w:bCs/>
        </w:rPr>
        <w:t>Nejnižšího zvýšení</w:t>
      </w:r>
      <w:r w:rsidRPr="00CE2DE3">
        <w:rPr>
          <w:rFonts w:cs="Arial"/>
          <w:bCs/>
        </w:rPr>
        <w:t xml:space="preserve"> průměrného platu </w:t>
      </w:r>
      <w:r w:rsidRPr="00CE2DE3">
        <w:rPr>
          <w:rFonts w:cs="Arial"/>
          <w:b/>
          <w:bCs/>
        </w:rPr>
        <w:t>o 2,1 %</w:t>
      </w:r>
      <w:r w:rsidRPr="00CE2DE3">
        <w:rPr>
          <w:rFonts w:cs="Arial"/>
          <w:bCs/>
        </w:rPr>
        <w:t xml:space="preserve"> bylo dosaženo v odvětví </w:t>
      </w:r>
      <w:r w:rsidRPr="00CE2DE3">
        <w:rPr>
          <w:rFonts w:cs="Arial"/>
          <w:b/>
          <w:bCs/>
        </w:rPr>
        <w:t>„vzdělávání“</w:t>
      </w:r>
      <w:r w:rsidRPr="00CE2DE3">
        <w:rPr>
          <w:rFonts w:cs="Arial"/>
          <w:bCs/>
        </w:rPr>
        <w:t>, jeho rozložení však v rámci odvětví rovněž nebylo rovnoměrné. Zatímco ve státem zřizovaných školských zařízení průměrný plat vzrostl o 1,3 %, ve školách a školských zařízeních, jejichž zřizovatelem je kraj nebo obec, se zvýšil oproti 1. </w:t>
      </w:r>
      <w:r w:rsidRPr="00CE2DE3">
        <w:rPr>
          <w:rFonts w:cs="Arial"/>
          <w:bCs/>
        </w:rPr>
        <w:noBreakHyphen/>
        <w:t> 3. čtvrtletí 2014 ještě o 1,4 p. b. více, tj. o 2,7 % – podrobně viz tabulku č. 5 v příloze.</w:t>
      </w:r>
    </w:p>
    <w:p w:rsidR="005F1660" w:rsidRPr="00CE2DE3" w:rsidRDefault="005F1660" w:rsidP="005F1660">
      <w:pPr>
        <w:spacing w:line="360" w:lineRule="auto"/>
        <w:jc w:val="both"/>
        <w:rPr>
          <w:rFonts w:cs="Arial"/>
          <w:bCs/>
        </w:rPr>
      </w:pPr>
    </w:p>
    <w:p w:rsidR="002A27E1" w:rsidRPr="00CE2DE3" w:rsidRDefault="002A27E1" w:rsidP="005F1660">
      <w:pPr>
        <w:spacing w:line="360" w:lineRule="auto"/>
        <w:jc w:val="both"/>
        <w:rPr>
          <w:rFonts w:cs="Arial"/>
          <w:bCs/>
        </w:rPr>
      </w:pPr>
    </w:p>
    <w:p w:rsidR="005F1660" w:rsidRPr="00CE2DE3" w:rsidRDefault="005F1660" w:rsidP="005F1660">
      <w:pPr>
        <w:spacing w:after="240" w:line="360" w:lineRule="auto"/>
        <w:jc w:val="both"/>
        <w:rPr>
          <w:rFonts w:cs="Arial"/>
        </w:rPr>
      </w:pPr>
      <w:r w:rsidRPr="00CE2DE3">
        <w:rPr>
          <w:rFonts w:cs="Arial"/>
          <w:bCs/>
        </w:rPr>
        <w:tab/>
      </w:r>
      <w:r w:rsidRPr="00CE2DE3">
        <w:rPr>
          <w:rFonts w:cs="Arial"/>
          <w:b/>
        </w:rPr>
        <w:t xml:space="preserve">Na nárůst </w:t>
      </w:r>
      <w:r w:rsidRPr="00CE2DE3">
        <w:rPr>
          <w:rFonts w:cs="Arial"/>
        </w:rPr>
        <w:t>průměrné mzdy</w:t>
      </w:r>
      <w:r w:rsidRPr="00CE2DE3">
        <w:rPr>
          <w:rFonts w:cs="Arial"/>
          <w:b/>
        </w:rPr>
        <w:t xml:space="preserve"> v podnikatelské sféře </w:t>
      </w:r>
      <w:r w:rsidRPr="00CE2DE3">
        <w:rPr>
          <w:rFonts w:cs="Arial"/>
        </w:rPr>
        <w:t xml:space="preserve">působily v 1. – 3. čtvrtletí 2015 </w:t>
      </w:r>
      <w:r w:rsidRPr="00CE2DE3">
        <w:rPr>
          <w:rFonts w:cs="Arial"/>
          <w:bCs/>
        </w:rPr>
        <w:t>především</w:t>
      </w:r>
      <w:r w:rsidRPr="00CE2DE3">
        <w:rPr>
          <w:rFonts w:cs="Arial"/>
          <w:b/>
        </w:rPr>
        <w:t xml:space="preserve"> tyto </w:t>
      </w:r>
      <w:r w:rsidRPr="00CE2DE3">
        <w:rPr>
          <w:rFonts w:cs="Arial"/>
          <w:bCs/>
        </w:rPr>
        <w:t>základní</w:t>
      </w:r>
      <w:r w:rsidRPr="00CE2DE3">
        <w:rPr>
          <w:rFonts w:cs="Arial"/>
          <w:b/>
        </w:rPr>
        <w:t xml:space="preserve"> faktory:</w:t>
      </w:r>
    </w:p>
    <w:p w:rsidR="005F1660" w:rsidRPr="00CE2DE3" w:rsidRDefault="005F1660" w:rsidP="00643A5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cs="Arial"/>
        </w:rPr>
      </w:pPr>
      <w:r w:rsidRPr="00CE2DE3">
        <w:rPr>
          <w:rFonts w:cs="Arial"/>
          <w:bCs/>
        </w:rPr>
        <w:t>oživení a příznivý vývoj ekonomiky, zejména průmyslu (nárůst zakázek, apod.),</w:t>
      </w:r>
    </w:p>
    <w:p w:rsidR="005F1660" w:rsidRPr="00CE2DE3" w:rsidRDefault="005F1660" w:rsidP="00643A5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cs="Arial"/>
        </w:rPr>
      </w:pPr>
      <w:r w:rsidRPr="00CE2DE3">
        <w:rPr>
          <w:rFonts w:cs="Arial"/>
        </w:rPr>
        <w:t>stále se zvyšující poptávka po kvalifikované pracovní síle zejména v technických oborech a profesích,</w:t>
      </w:r>
    </w:p>
    <w:p w:rsidR="005F1660" w:rsidRPr="00CE2DE3" w:rsidRDefault="005F1660" w:rsidP="00643A5A">
      <w:pPr>
        <w:numPr>
          <w:ilvl w:val="0"/>
          <w:numId w:val="27"/>
        </w:numPr>
        <w:spacing w:line="360" w:lineRule="auto"/>
        <w:ind w:left="714" w:hanging="357"/>
        <w:contextualSpacing/>
        <w:jc w:val="both"/>
        <w:rPr>
          <w:rFonts w:cs="Arial"/>
          <w:bCs/>
        </w:rPr>
      </w:pPr>
      <w:r w:rsidRPr="00CE2DE3">
        <w:rPr>
          <w:rFonts w:cs="Arial"/>
        </w:rPr>
        <w:t>nárůst zaměstnanosti a pokračující významný pokles nezaměstnanosti; podíl nezaměstnaných osob</w:t>
      </w:r>
      <w:r w:rsidRPr="00CE2DE3">
        <w:rPr>
          <w:rFonts w:cs="Arial"/>
          <w:b/>
          <w:bCs/>
        </w:rPr>
        <w:t xml:space="preserve"> činil 6,0 % k 30. září 2015 </w:t>
      </w:r>
      <w:r w:rsidRPr="00CE2DE3">
        <w:rPr>
          <w:rFonts w:cs="Arial"/>
          <w:bCs/>
        </w:rPr>
        <w:t>(k 30. září 2014 byl o 1,3 p. b. vyšší, tj. 7,3 %).</w:t>
      </w:r>
    </w:p>
    <w:p w:rsidR="002A27E1" w:rsidRPr="00CE2DE3" w:rsidRDefault="002A27E1" w:rsidP="005F1660">
      <w:pPr>
        <w:ind w:left="708"/>
        <w:jc w:val="both"/>
        <w:rPr>
          <w:bCs/>
        </w:rPr>
      </w:pPr>
    </w:p>
    <w:p w:rsidR="002A27E1" w:rsidRPr="00CE2DE3" w:rsidRDefault="002A27E1" w:rsidP="005F1660">
      <w:pPr>
        <w:ind w:left="708"/>
        <w:jc w:val="both"/>
        <w:rPr>
          <w:bCs/>
        </w:rPr>
      </w:pPr>
    </w:p>
    <w:p w:rsidR="002A27E1" w:rsidRPr="00CE2DE3" w:rsidRDefault="002A27E1" w:rsidP="005F1660">
      <w:pPr>
        <w:ind w:left="708"/>
        <w:jc w:val="both"/>
        <w:rPr>
          <w:bCs/>
        </w:rPr>
      </w:pPr>
    </w:p>
    <w:p w:rsidR="005F1660" w:rsidRPr="00CE2DE3" w:rsidRDefault="005F1660" w:rsidP="005F1660">
      <w:pPr>
        <w:ind w:left="708"/>
        <w:jc w:val="both"/>
        <w:rPr>
          <w:bCs/>
        </w:rPr>
      </w:pPr>
      <w:r w:rsidRPr="00CE2DE3">
        <w:rPr>
          <w:bCs/>
        </w:rPr>
        <w:lastRenderedPageBreak/>
        <w:t xml:space="preserve">Z údajů o </w:t>
      </w:r>
      <w:r w:rsidRPr="00CE2DE3">
        <w:rPr>
          <w:b/>
          <w:bCs/>
        </w:rPr>
        <w:t>průměrném evidenčním počtu zaměstnanců</w:t>
      </w:r>
      <w:r w:rsidRPr="00CE2DE3">
        <w:rPr>
          <w:bCs/>
        </w:rPr>
        <w:t xml:space="preserve"> na přepočtené počty (dle Podnikové statistiky o mzdách a zaměstnancích, jedná se o druhý nejvýznamnější zdroj dat, který se však liší od Výběrových šetření pracovních sil) je patrný pokračující meziroční nárůst zaměstnanců (o 68,6 tis.). Přírůstek zaměstnanců byl zaznamenán v obou sférách národního hospodářství. V podnikatelské sféře se zvýšil počet zaměstnanců o 59,3 tis. a v nepodnikatelské sféře o 9,2 tis. V detailnějším odvětvovém členění byly zaznamenány rozdílné trendy ve vývoji zaměstnanců. Největší a nejvýznamnější nárůst zaměstnanců byl vykázán ve zpracovatelském průmyslu (o 31,8 tis., tj. o 3,0 %), dále pak v odvětví „velkoobchod a maloobchod; opravy a údržba motorových vozidel“ (o 7,8 tis.) a „administrativní a podpůrné činnosti“ (o 7,0 tis.). Největší pokles zaměstnanosti byl zaznamenán opět v odvětví „stavebnictví“ (o 2,9 tis., tj. o 1,4 %), dále pak v odvětvích „těžba a dobývání“ (o 1,1 tis.) a „ubytování, stravování a pohostinství“ (o 0,8 tis.).</w:t>
      </w:r>
    </w:p>
    <w:p w:rsidR="005F1660" w:rsidRPr="00CE2DE3" w:rsidRDefault="005F1660" w:rsidP="005F1660">
      <w:pPr>
        <w:spacing w:line="360" w:lineRule="auto"/>
        <w:jc w:val="both"/>
        <w:rPr>
          <w:rFonts w:cs="Arial"/>
        </w:rPr>
      </w:pPr>
    </w:p>
    <w:p w:rsidR="005F1660" w:rsidRPr="00CE2DE3" w:rsidRDefault="005F1660" w:rsidP="005F1660">
      <w:pPr>
        <w:spacing w:line="360" w:lineRule="auto"/>
        <w:jc w:val="both"/>
        <w:rPr>
          <w:rFonts w:cs="Arial"/>
        </w:rPr>
      </w:pPr>
    </w:p>
    <w:p w:rsidR="005F1660" w:rsidRPr="00CE2DE3" w:rsidRDefault="005F1660" w:rsidP="005F1660">
      <w:pPr>
        <w:spacing w:line="360" w:lineRule="auto"/>
        <w:jc w:val="both"/>
        <w:rPr>
          <w:bCs/>
        </w:rPr>
      </w:pPr>
      <w:r w:rsidRPr="00CE2DE3">
        <w:rPr>
          <w:rFonts w:cs="Arial"/>
        </w:rPr>
        <w:tab/>
      </w:r>
      <w:r w:rsidRPr="00CE2DE3">
        <w:rPr>
          <w:bCs/>
        </w:rPr>
        <w:t xml:space="preserve">Z hlediska odvětvového členění (podle Klasifikace ekonomických činností CZ-NACE – viz tabulku č. 6 v příloze) </w:t>
      </w:r>
      <w:r w:rsidRPr="00CE2DE3">
        <w:rPr>
          <w:b/>
          <w:bCs/>
        </w:rPr>
        <w:t>dosáhla v 1. – 3. čtvrtletí 2015 nejvyšší</w:t>
      </w:r>
      <w:r w:rsidRPr="00CE2DE3">
        <w:rPr>
          <w:bCs/>
        </w:rPr>
        <w:t xml:space="preserve"> (téměř dvojnásobné úrovně průměrné mzdy v národním hospodářství) </w:t>
      </w:r>
      <w:r w:rsidRPr="00CE2DE3">
        <w:rPr>
          <w:b/>
          <w:bCs/>
        </w:rPr>
        <w:t xml:space="preserve">nominální průměrné mzdy </w:t>
      </w:r>
      <w:r w:rsidRPr="00CE2DE3">
        <w:rPr>
          <w:bCs/>
        </w:rPr>
        <w:t xml:space="preserve">tradičně </w:t>
      </w:r>
      <w:r w:rsidRPr="00CE2DE3">
        <w:rPr>
          <w:b/>
          <w:bCs/>
        </w:rPr>
        <w:t>odvětví „peněžnictví a pojišťovnictví“</w:t>
      </w:r>
      <w:r w:rsidRPr="00CE2DE3">
        <w:rPr>
          <w:bCs/>
        </w:rPr>
        <w:t xml:space="preserve"> (48 978 Kč), </w:t>
      </w:r>
      <w:r w:rsidRPr="00CE2DE3">
        <w:rPr>
          <w:b/>
          <w:bCs/>
        </w:rPr>
        <w:t>odvětví „informační a komunikační činnosti“</w:t>
      </w:r>
      <w:r w:rsidRPr="00CE2DE3">
        <w:rPr>
          <w:bCs/>
        </w:rPr>
        <w:t xml:space="preserve"> (47 936 Kč) a </w:t>
      </w:r>
      <w:r w:rsidRPr="00CE2DE3">
        <w:rPr>
          <w:b/>
          <w:bCs/>
        </w:rPr>
        <w:t>odvětví „výroba a rozvod elektřiny, plynu, tepla a klimatizovaného vzduchu“</w:t>
      </w:r>
      <w:r w:rsidRPr="00CE2DE3">
        <w:rPr>
          <w:bCs/>
        </w:rPr>
        <w:t xml:space="preserve"> (40 043 Kč). Celorepublikový průměr (25 903 Kč) byl překročen rovněž v odvětvích „profesní, vědecké a technické činnosti“ (32 396 Kč), „těžba a dobývání“ (30 232 Kč), „veřejná správa a obrana; povinné sociální zabezpečení“ (27 990 Kč), „zdravotní a sociální péče“ (26 229 Kč) a „zpracovatelský průmysl“ (25 933 Kč). </w:t>
      </w:r>
      <w:r w:rsidRPr="00CE2DE3">
        <w:rPr>
          <w:b/>
          <w:bCs/>
        </w:rPr>
        <w:t>Nejnižší průměrná mzda byla v odvětvích „ubytování, stravování a pohostinství“</w:t>
      </w:r>
      <w:r w:rsidRPr="00CE2DE3">
        <w:rPr>
          <w:bCs/>
        </w:rPr>
        <w:t xml:space="preserve"> (14 705 Kč), </w:t>
      </w:r>
      <w:r w:rsidRPr="00CE2DE3">
        <w:rPr>
          <w:b/>
          <w:bCs/>
        </w:rPr>
        <w:t>„administrativní a podpůrné činnosti“</w:t>
      </w:r>
      <w:r w:rsidRPr="00CE2DE3">
        <w:rPr>
          <w:bCs/>
        </w:rPr>
        <w:t xml:space="preserve"> (17 231 Kč) a </w:t>
      </w:r>
      <w:r w:rsidRPr="00CE2DE3">
        <w:rPr>
          <w:b/>
          <w:bCs/>
        </w:rPr>
        <w:t>„ostatní činnosti“</w:t>
      </w:r>
      <w:r w:rsidRPr="00CE2DE3">
        <w:rPr>
          <w:bCs/>
        </w:rPr>
        <w:t xml:space="preserve"> (20 164 Kč).</w:t>
      </w:r>
    </w:p>
    <w:p w:rsidR="00CC651A" w:rsidRPr="00CE2DE3" w:rsidRDefault="00CC651A" w:rsidP="005F1660">
      <w:pPr>
        <w:spacing w:line="360" w:lineRule="auto"/>
        <w:jc w:val="both"/>
        <w:rPr>
          <w:bCs/>
        </w:rPr>
      </w:pPr>
    </w:p>
    <w:p w:rsidR="005F1660" w:rsidRPr="00CE2DE3" w:rsidRDefault="005F1660" w:rsidP="005F1660">
      <w:pPr>
        <w:spacing w:line="360" w:lineRule="auto"/>
        <w:jc w:val="both"/>
        <w:rPr>
          <w:bCs/>
        </w:rPr>
      </w:pPr>
      <w:r w:rsidRPr="00CE2DE3">
        <w:rPr>
          <w:b/>
          <w:bCs/>
        </w:rPr>
        <w:tab/>
        <w:t>Dynamika vývoje mezd v jednotlivých odvětvích byla výrazně diferencovaná</w:t>
      </w:r>
      <w:r w:rsidRPr="00CE2DE3">
        <w:rPr>
          <w:bCs/>
        </w:rPr>
        <w:t xml:space="preserve">, a to nominálně od -1,2 % do +6,2 %. Největší nárůst byl zaznamenán v odvětvích </w:t>
      </w:r>
      <w:r w:rsidRPr="00CE2DE3">
        <w:rPr>
          <w:b/>
          <w:bCs/>
        </w:rPr>
        <w:t>„ubytování, stravování a pohostinství“</w:t>
      </w:r>
      <w:r w:rsidRPr="00CE2DE3">
        <w:rPr>
          <w:bCs/>
        </w:rPr>
        <w:t xml:space="preserve"> (o 6,2 %), </w:t>
      </w:r>
      <w:r w:rsidRPr="00CE2DE3">
        <w:rPr>
          <w:b/>
          <w:bCs/>
        </w:rPr>
        <w:t>„zdravotní a sociální péče“</w:t>
      </w:r>
      <w:r w:rsidRPr="00CE2DE3">
        <w:rPr>
          <w:bCs/>
        </w:rPr>
        <w:t xml:space="preserve"> (o 5,0 %) a </w:t>
      </w:r>
      <w:r w:rsidRPr="00CE2DE3">
        <w:rPr>
          <w:b/>
          <w:bCs/>
        </w:rPr>
        <w:t>„stavebnictví“</w:t>
      </w:r>
      <w:r w:rsidRPr="00CE2DE3">
        <w:rPr>
          <w:bCs/>
        </w:rPr>
        <w:t xml:space="preserve"> (o 4,5 %). Naopak k nominálnímu poklesu průměrné mzdy došlo v odvětví </w:t>
      </w:r>
      <w:r w:rsidRPr="00CE2DE3">
        <w:rPr>
          <w:b/>
          <w:bCs/>
        </w:rPr>
        <w:t>„výroba a rozvod elektřiny, plynu, tepla a klimatizovaného vzduchu“</w:t>
      </w:r>
      <w:r w:rsidRPr="00CE2DE3">
        <w:rPr>
          <w:bCs/>
        </w:rPr>
        <w:t xml:space="preserve"> (o </w:t>
      </w:r>
      <w:r w:rsidRPr="00CE2DE3">
        <w:rPr>
          <w:bCs/>
        </w:rPr>
        <w:noBreakHyphen/>
        <w:t>1,2 %). S výjimkou výše uvedeného odvětví a odvětví „těžba a dobývání“ došlo ve všech ostatních odvětvích k posílení kupní síly průměrné mzdy (až o 5,8 %).</w:t>
      </w:r>
    </w:p>
    <w:p w:rsidR="005F1660" w:rsidRPr="00CE2DE3" w:rsidRDefault="005F1660" w:rsidP="005F1660">
      <w:pPr>
        <w:spacing w:line="360" w:lineRule="auto"/>
        <w:jc w:val="both"/>
        <w:rPr>
          <w:rFonts w:cs="Arial"/>
          <w:bCs/>
        </w:rPr>
      </w:pPr>
      <w:r w:rsidRPr="00CE2DE3">
        <w:rPr>
          <w:bCs/>
        </w:rPr>
        <w:lastRenderedPageBreak/>
        <w:tab/>
      </w:r>
      <w:r w:rsidRPr="00CE2DE3">
        <w:rPr>
          <w:rFonts w:cs="Arial"/>
          <w:b/>
        </w:rPr>
        <w:t>Meziodvětvová mzdová diferenciace</w:t>
      </w:r>
      <w:r w:rsidRPr="00CE2DE3">
        <w:rPr>
          <w:rFonts w:cs="Arial"/>
          <w:bCs/>
        </w:rPr>
        <w:t xml:space="preserve"> proti stejnému období předchozího roku </w:t>
      </w:r>
      <w:r w:rsidRPr="00CE2DE3">
        <w:rPr>
          <w:rFonts w:cs="Arial"/>
          <w:b/>
          <w:bCs/>
        </w:rPr>
        <w:t>poklesla</w:t>
      </w:r>
      <w:r w:rsidRPr="00CE2DE3">
        <w:rPr>
          <w:rFonts w:cs="Arial"/>
          <w:bCs/>
        </w:rPr>
        <w:t>; variační koeficient průměrných mezd (podle sekcí CZ-NACE) se snížil o 1,3 p. b. na 33,3 %.</w:t>
      </w:r>
    </w:p>
    <w:p w:rsidR="005F1660" w:rsidRPr="00CE2DE3" w:rsidRDefault="005F1660" w:rsidP="005F1660">
      <w:pPr>
        <w:spacing w:line="360" w:lineRule="auto"/>
        <w:jc w:val="both"/>
        <w:rPr>
          <w:rFonts w:cs="Arial"/>
          <w:bCs/>
        </w:rPr>
      </w:pPr>
    </w:p>
    <w:p w:rsidR="005F1660" w:rsidRPr="00CE2DE3" w:rsidRDefault="005F1660" w:rsidP="005F1660">
      <w:pPr>
        <w:spacing w:line="360" w:lineRule="auto"/>
        <w:jc w:val="both"/>
        <w:rPr>
          <w:rFonts w:cs="Arial"/>
          <w:bCs/>
        </w:rPr>
      </w:pPr>
      <w:r w:rsidRPr="00CE2DE3">
        <w:rPr>
          <w:rFonts w:cs="Arial"/>
          <w:bCs/>
        </w:rPr>
        <w:tab/>
      </w:r>
      <w:r w:rsidRPr="00CE2DE3">
        <w:rPr>
          <w:rFonts w:cs="Arial"/>
          <w:b/>
        </w:rPr>
        <w:t xml:space="preserve">Výše průměrné nominální mzdy se </w:t>
      </w:r>
      <w:r w:rsidRPr="00CE2DE3">
        <w:rPr>
          <w:rFonts w:cs="Arial"/>
          <w:bCs/>
        </w:rPr>
        <w:t>výrazně</w:t>
      </w:r>
      <w:r w:rsidRPr="00CE2DE3">
        <w:rPr>
          <w:rFonts w:cs="Arial"/>
          <w:b/>
        </w:rPr>
        <w:t xml:space="preserve"> lišila i podle velikosti zpravodajské jednotky, tj. čím větší byl počet zaměstnanců, tím vyšší byla průměrná mzda.</w:t>
      </w:r>
      <w:r w:rsidRPr="00CE2DE3">
        <w:rPr>
          <w:rFonts w:cs="Arial"/>
          <w:b/>
          <w:bCs/>
        </w:rPr>
        <w:t xml:space="preserve"> V malých podnicích do 19 zaměstnanců</w:t>
      </w:r>
      <w:r w:rsidRPr="00CE2DE3">
        <w:rPr>
          <w:rFonts w:cs="Arial"/>
          <w:bCs/>
        </w:rPr>
        <w:t xml:space="preserve"> (velikostní kategorii s druhým nejvyšším počtem zaměstnanců – cca 813 tisíc) byla sice s úrovní </w:t>
      </w:r>
      <w:r w:rsidRPr="00CE2DE3">
        <w:rPr>
          <w:rFonts w:cs="Arial"/>
          <w:b/>
          <w:bCs/>
        </w:rPr>
        <w:t>18 815 Kč</w:t>
      </w:r>
      <w:r w:rsidRPr="00CE2DE3">
        <w:rPr>
          <w:rFonts w:cs="Arial"/>
          <w:bCs/>
        </w:rPr>
        <w:t xml:space="preserve"> nejnižší (téměř 73 % průměrné mzdy v národním hospodářství), ale zaznamenala ve sledovaném období nejvyšší meziroční nominální nárůst o 4,3 % (reálně o 3,9 %). Naopak nejvyšší průměrná mzda </w:t>
      </w:r>
      <w:r w:rsidRPr="00CE2DE3">
        <w:rPr>
          <w:rFonts w:cs="Arial"/>
          <w:b/>
          <w:bCs/>
        </w:rPr>
        <w:t>30 784 Kč</w:t>
      </w:r>
      <w:r w:rsidRPr="00CE2DE3">
        <w:rPr>
          <w:rFonts w:cs="Arial"/>
          <w:bCs/>
        </w:rPr>
        <w:t xml:space="preserve"> (cca 120 % průměru) byla vyplacena </w:t>
      </w:r>
      <w:r w:rsidRPr="00CE2DE3">
        <w:rPr>
          <w:rFonts w:cs="Arial"/>
          <w:b/>
          <w:bCs/>
        </w:rPr>
        <w:t>v organizacích s 1 000 a více zaměstnanci</w:t>
      </w:r>
      <w:r w:rsidRPr="00CE2DE3">
        <w:rPr>
          <w:rFonts w:cs="Arial"/>
          <w:bCs/>
        </w:rPr>
        <w:t xml:space="preserve">. Její meziroční nominální nárůst o 2,1 % byl o 1,1 p. b. nižší než průměr za celé národní hospodářství a byl ze všech velikostních kategorií nejnižší. </w:t>
      </w:r>
      <w:r w:rsidRPr="00CE2DE3">
        <w:rPr>
          <w:rFonts w:cs="Arial"/>
          <w:b/>
          <w:bCs/>
        </w:rPr>
        <w:t>K posílení reálné průměrné mzdy došlo ve všech sledovaných velikostních kategorií ekonomických subjektů.</w:t>
      </w:r>
      <w:r w:rsidRPr="00CE2DE3">
        <w:rPr>
          <w:rFonts w:cs="Arial"/>
          <w:bCs/>
        </w:rPr>
        <w:t xml:space="preserve"> Pokles počtu zaměstnanců byl zaznamenán jenom v organizacích s 20 – 49 zaměstnanci, ve kterých se snížila zaměstnanost (o 16,9 tis.), nejvyšší nárůst (o 29,6 tis.) byl zaznamenán v podnicích s 1 000 a více zaměstnanci – podrobněji viz tabulku č. 7 v příloze.</w:t>
      </w:r>
    </w:p>
    <w:p w:rsidR="005F1660" w:rsidRPr="00CE2DE3" w:rsidRDefault="005F1660" w:rsidP="005F1660">
      <w:pPr>
        <w:spacing w:line="360" w:lineRule="auto"/>
        <w:jc w:val="both"/>
        <w:rPr>
          <w:rFonts w:cs="Arial"/>
          <w:bCs/>
        </w:rPr>
      </w:pPr>
    </w:p>
    <w:p w:rsidR="005F1660" w:rsidRPr="00CE2DE3" w:rsidRDefault="005F1660" w:rsidP="005F1660">
      <w:pPr>
        <w:spacing w:line="360" w:lineRule="auto"/>
        <w:jc w:val="both"/>
        <w:rPr>
          <w:rFonts w:cs="Arial"/>
          <w:bCs/>
        </w:rPr>
      </w:pPr>
      <w:r w:rsidRPr="00CE2DE3">
        <w:rPr>
          <w:rFonts w:cs="Arial"/>
          <w:bCs/>
        </w:rPr>
        <w:tab/>
      </w:r>
      <w:r w:rsidRPr="00CE2DE3">
        <w:rPr>
          <w:rFonts w:cs="Arial"/>
          <w:b/>
          <w:bCs/>
        </w:rPr>
        <w:t xml:space="preserve">V krajském členění </w:t>
      </w:r>
      <w:r w:rsidRPr="00CE2DE3">
        <w:rPr>
          <w:rFonts w:cs="Arial"/>
          <w:bCs/>
        </w:rPr>
        <w:t xml:space="preserve">došlo k meziročnímu </w:t>
      </w:r>
      <w:r w:rsidRPr="00CE2DE3">
        <w:rPr>
          <w:rFonts w:cs="Arial"/>
          <w:b/>
          <w:bCs/>
        </w:rPr>
        <w:t xml:space="preserve">nominálnímu i reálnému růstu průměrné mzdy ve všech 14 krajích. </w:t>
      </w:r>
      <w:r w:rsidRPr="00CE2DE3">
        <w:rPr>
          <w:rFonts w:cs="Arial"/>
          <w:bCs/>
        </w:rPr>
        <w:t xml:space="preserve">Dlouhodobě </w:t>
      </w:r>
      <w:r w:rsidRPr="00CE2DE3">
        <w:rPr>
          <w:rFonts w:cs="Arial"/>
          <w:b/>
          <w:bCs/>
        </w:rPr>
        <w:t>nejvyšší úroveň průměrné mzdy vykazuje hl. město Praha</w:t>
      </w:r>
      <w:r w:rsidRPr="00CE2DE3">
        <w:rPr>
          <w:rFonts w:cs="Arial"/>
          <w:bCs/>
        </w:rPr>
        <w:t xml:space="preserve">, ve sledovaném období dosáhla její výše </w:t>
      </w:r>
      <w:r w:rsidRPr="00CE2DE3">
        <w:rPr>
          <w:rFonts w:cs="Arial"/>
          <w:b/>
          <w:bCs/>
        </w:rPr>
        <w:t>33 343 Kč</w:t>
      </w:r>
      <w:r w:rsidRPr="00CE2DE3">
        <w:rPr>
          <w:rFonts w:cs="Arial"/>
          <w:bCs/>
        </w:rPr>
        <w:t xml:space="preserve"> – tj. téměř 129 % celorepublikového průměru. </w:t>
      </w:r>
      <w:r w:rsidRPr="00CE2DE3">
        <w:rPr>
          <w:rFonts w:cs="Arial"/>
          <w:b/>
          <w:bCs/>
        </w:rPr>
        <w:t>Nejvýznamnější relativní vzestup</w:t>
      </w:r>
      <w:r w:rsidRPr="00CE2DE3">
        <w:rPr>
          <w:rFonts w:cs="Arial"/>
          <w:bCs/>
        </w:rPr>
        <w:t xml:space="preserve"> průměrné nominální mzdy vykázaly </w:t>
      </w:r>
      <w:r w:rsidRPr="00CE2DE3">
        <w:rPr>
          <w:rFonts w:cs="Arial"/>
          <w:b/>
          <w:bCs/>
        </w:rPr>
        <w:t xml:space="preserve">Pardubický </w:t>
      </w:r>
      <w:r w:rsidRPr="00CE2DE3">
        <w:rPr>
          <w:rFonts w:cs="Arial"/>
          <w:bCs/>
        </w:rPr>
        <w:t xml:space="preserve">(o 3,8 %) a </w:t>
      </w:r>
      <w:r w:rsidRPr="00CE2DE3">
        <w:rPr>
          <w:rFonts w:cs="Arial"/>
          <w:b/>
          <w:bCs/>
        </w:rPr>
        <w:t>Jihočeský kraj</w:t>
      </w:r>
      <w:r w:rsidRPr="00CE2DE3">
        <w:rPr>
          <w:rFonts w:cs="Arial"/>
          <w:bCs/>
        </w:rPr>
        <w:t xml:space="preserve"> (o 3,7 %); naopak </w:t>
      </w:r>
      <w:r w:rsidRPr="00CE2DE3">
        <w:rPr>
          <w:rFonts w:cs="Arial"/>
          <w:b/>
          <w:bCs/>
        </w:rPr>
        <w:t>nejnižší nárůst</w:t>
      </w:r>
      <w:r w:rsidRPr="00CE2DE3">
        <w:rPr>
          <w:rFonts w:cs="Arial"/>
          <w:bCs/>
        </w:rPr>
        <w:t xml:space="preserve"> byl zaznamenán </w:t>
      </w:r>
      <w:r w:rsidRPr="00CE2DE3">
        <w:rPr>
          <w:rFonts w:cs="Arial"/>
          <w:b/>
          <w:bCs/>
        </w:rPr>
        <w:t>opět v hl. m. Praze</w:t>
      </w:r>
      <w:r w:rsidRPr="00CE2DE3">
        <w:rPr>
          <w:rFonts w:cs="Arial"/>
          <w:bCs/>
        </w:rPr>
        <w:t xml:space="preserve"> (o 2,4 %) a </w:t>
      </w:r>
      <w:r w:rsidRPr="00CE2DE3">
        <w:rPr>
          <w:rFonts w:cs="Arial"/>
          <w:b/>
          <w:bCs/>
        </w:rPr>
        <w:t>Moravskoslezském kraji</w:t>
      </w:r>
      <w:r w:rsidRPr="00CE2DE3">
        <w:rPr>
          <w:rFonts w:cs="Arial"/>
          <w:bCs/>
        </w:rPr>
        <w:t xml:space="preserve"> (o 2,9 %), kde nedosáhl ani celorepublikového průměru – viz tabulku č. 8 v příloze. </w:t>
      </w:r>
      <w:r w:rsidRPr="00CE2DE3">
        <w:rPr>
          <w:rFonts w:cs="Arial"/>
          <w:b/>
          <w:bCs/>
        </w:rPr>
        <w:t>Nejnižší absolutní úroveň průměrné mzdy 22 149 Kč byla zaznamenána v Karlovarském kraji.</w:t>
      </w:r>
      <w:r w:rsidRPr="00CE2DE3">
        <w:rPr>
          <w:rFonts w:cs="Arial"/>
          <w:bCs/>
        </w:rPr>
        <w:t xml:space="preserve"> Současně došlo k velmi mírnému </w:t>
      </w:r>
      <w:r w:rsidRPr="00CE2DE3">
        <w:rPr>
          <w:rFonts w:cs="Arial"/>
          <w:b/>
          <w:bCs/>
        </w:rPr>
        <w:t>nárůstu diferenciace,</w:t>
      </w:r>
      <w:r w:rsidRPr="00CE2DE3">
        <w:rPr>
          <w:rFonts w:cs="Arial"/>
          <w:bCs/>
        </w:rPr>
        <w:t xml:space="preserve"> tj. zvýšení extrémních mzdových hladin (hl. m. Praha x Karlovarský kraj) o 42 Kč na 11 194 Kč. Hodnota variačního koeficientu v tomto členění však klesla z 11,3 % v 1. </w:t>
      </w:r>
      <w:r w:rsidRPr="00CE2DE3">
        <w:rPr>
          <w:rFonts w:cs="Arial"/>
          <w:bCs/>
        </w:rPr>
        <w:noBreakHyphen/>
        <w:t> 3. čtvrtletí 2014 na 10,9 % ve stejném období roku 2015.</w:t>
      </w:r>
    </w:p>
    <w:p w:rsidR="005F1660" w:rsidRPr="00CE2DE3" w:rsidRDefault="005F1660" w:rsidP="005F1660"/>
    <w:p w:rsidR="000F100F" w:rsidRPr="00CE2DE3" w:rsidRDefault="000F100F" w:rsidP="000F100F">
      <w:pPr>
        <w:spacing w:line="360" w:lineRule="auto"/>
        <w:rPr>
          <w:rFonts w:cs="Arial"/>
          <w:b/>
          <w:i/>
          <w:sz w:val="32"/>
          <w:szCs w:val="32"/>
        </w:rPr>
      </w:pPr>
      <w:r w:rsidRPr="00CE2DE3">
        <w:rPr>
          <w:rFonts w:cs="Arial"/>
          <w:b/>
          <w:i/>
          <w:sz w:val="32"/>
          <w:szCs w:val="32"/>
        </w:rPr>
        <w:lastRenderedPageBreak/>
        <w:t xml:space="preserve">1. 3 Sociální příjmy </w:t>
      </w:r>
    </w:p>
    <w:p w:rsidR="000F100F" w:rsidRPr="00CE2DE3" w:rsidRDefault="000F100F" w:rsidP="000F100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 w:rsidR="000F100F" w:rsidRPr="00CE2DE3" w:rsidRDefault="000F100F" w:rsidP="000F100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 w:rsidR="000F100F" w:rsidRPr="00CE2DE3" w:rsidRDefault="000F100F" w:rsidP="000F100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CE2DE3">
        <w:rPr>
          <w:rFonts w:cs="Arial"/>
          <w:b/>
        </w:rPr>
        <w:tab/>
        <w:t>Celkový objem</w:t>
      </w:r>
      <w:r w:rsidRPr="00CE2DE3">
        <w:rPr>
          <w:rFonts w:cs="Arial"/>
        </w:rPr>
        <w:t xml:space="preserve"> sociálních příjmů (druhé nejvyšší složky peněžních příjmů domácností) </w:t>
      </w:r>
      <w:r w:rsidRPr="00CE2DE3">
        <w:rPr>
          <w:rFonts w:cs="Arial"/>
          <w:b/>
        </w:rPr>
        <w:t>dosáhl</w:t>
      </w:r>
      <w:r w:rsidRPr="00CE2DE3">
        <w:rPr>
          <w:rFonts w:cs="Arial"/>
        </w:rPr>
        <w:t xml:space="preserve"> od počátku roku </w:t>
      </w:r>
      <w:r w:rsidRPr="00CE2DE3">
        <w:rPr>
          <w:rFonts w:cs="Arial"/>
          <w:b/>
        </w:rPr>
        <w:t>do konce září 2015</w:t>
      </w:r>
      <w:r w:rsidRPr="00CE2DE3">
        <w:rPr>
          <w:rFonts w:cs="Arial"/>
        </w:rPr>
        <w:t xml:space="preserve"> částky </w:t>
      </w:r>
      <w:r w:rsidRPr="00CE2DE3">
        <w:rPr>
          <w:rFonts w:cs="Arial"/>
          <w:b/>
        </w:rPr>
        <w:t xml:space="preserve">357,6 mld. Kč a převýšil skutečnost stejného období roku 2014 o 8,0 mld. Kč, </w:t>
      </w:r>
      <w:r w:rsidRPr="00CE2DE3">
        <w:rPr>
          <w:rFonts w:cs="Arial"/>
        </w:rPr>
        <w:t>tj.</w:t>
      </w:r>
      <w:r w:rsidRPr="00CE2DE3">
        <w:rPr>
          <w:rFonts w:cs="Arial"/>
          <w:b/>
        </w:rPr>
        <w:t xml:space="preserve"> </w:t>
      </w:r>
      <w:r w:rsidRPr="00CE2DE3">
        <w:rPr>
          <w:rFonts w:cs="Arial"/>
        </w:rPr>
        <w:t xml:space="preserve">o 2,3 % </w:t>
      </w:r>
      <w:r w:rsidRPr="00CE2DE3">
        <w:rPr>
          <w:rFonts w:cs="Arial"/>
          <w:szCs w:val="24"/>
        </w:rPr>
        <w:t xml:space="preserve">nominálně a o 1,9 % reálně. </w:t>
      </w:r>
      <w:r w:rsidRPr="00CE2DE3">
        <w:rPr>
          <w:rFonts w:cs="Arial"/>
          <w:b/>
        </w:rPr>
        <w:t>Pokles</w:t>
      </w:r>
      <w:r w:rsidRPr="00CE2DE3">
        <w:rPr>
          <w:rFonts w:cs="Arial"/>
        </w:rPr>
        <w:t xml:space="preserve"> byl zaznamenán u</w:t>
      </w:r>
      <w:r w:rsidRPr="00CE2DE3">
        <w:rPr>
          <w:rFonts w:cs="Arial"/>
          <w:b/>
        </w:rPr>
        <w:t> 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 xml:space="preserve">podpor v nezaměstnanosti </w:t>
      </w:r>
      <w:r w:rsidRPr="00CE2DE3">
        <w:rPr>
          <w:rFonts w:cs="Arial"/>
        </w:rPr>
        <w:t xml:space="preserve">a </w:t>
      </w:r>
      <w:r w:rsidRPr="00CE2DE3">
        <w:rPr>
          <w:rFonts w:cs="Arial"/>
          <w:b/>
        </w:rPr>
        <w:t xml:space="preserve">dávek pomoci v hmotné nouzi. Příjmy občanů z ostatních druhů sociálních dávek se zvýšily </w:t>
      </w:r>
      <w:r w:rsidRPr="00CE2DE3">
        <w:rPr>
          <w:rFonts w:cs="Arial"/>
        </w:rPr>
        <w:t>– viz tabulku č. 9 v příloze.</w:t>
      </w: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</w:r>
      <w:r w:rsidRPr="00CE2DE3">
        <w:rPr>
          <w:rFonts w:cs="Arial"/>
          <w:b/>
          <w:u w:val="single"/>
        </w:rPr>
        <w:t>Dávky důchodového pojištění,</w:t>
      </w:r>
      <w:r w:rsidRPr="00CE2DE3">
        <w:rPr>
          <w:rFonts w:cs="Arial"/>
        </w:rPr>
        <w:t xml:space="preserve"> na které bylo v 1. – 3. čtvrtletí 2015 bez dávek vyplácených do ciziny poskytnuto </w:t>
      </w:r>
      <w:r w:rsidRPr="00CE2DE3">
        <w:rPr>
          <w:rFonts w:cs="Arial"/>
          <w:b/>
        </w:rPr>
        <w:t>279,4 mld. Kč,</w:t>
      </w:r>
      <w:r w:rsidRPr="00CE2DE3">
        <w:rPr>
          <w:rFonts w:cs="Arial"/>
        </w:rPr>
        <w:t xml:space="preserve"> tj. </w:t>
      </w:r>
      <w:r w:rsidRPr="00CE2DE3">
        <w:rPr>
          <w:rFonts w:cs="Arial"/>
          <w:b/>
        </w:rPr>
        <w:t>o 7,1 mld. Kč</w:t>
      </w:r>
      <w:r w:rsidRPr="00CE2DE3">
        <w:rPr>
          <w:rFonts w:cs="Arial"/>
        </w:rPr>
        <w:t xml:space="preserve"> (o 2,6 %) </w:t>
      </w:r>
      <w:r w:rsidRPr="00CE2DE3">
        <w:rPr>
          <w:rFonts w:cs="Arial"/>
          <w:b/>
        </w:rPr>
        <w:t xml:space="preserve">více </w:t>
      </w:r>
      <w:r w:rsidRPr="00CE2DE3">
        <w:rPr>
          <w:rFonts w:cs="Arial"/>
        </w:rPr>
        <w:t>než ve srovnatelném období roku 2014, se podílely na celkové úrovni sociálních příjmů domácností 78,1 %.</w:t>
      </w:r>
    </w:p>
    <w:p w:rsidR="000F100F" w:rsidRPr="00CE2DE3" w:rsidRDefault="000F100F" w:rsidP="000F100F">
      <w:pPr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  <w:t xml:space="preserve">Nárůst zaznamenaly </w:t>
      </w:r>
      <w:r w:rsidRPr="00CE2DE3">
        <w:rPr>
          <w:rFonts w:cs="Arial"/>
          <w:b/>
        </w:rPr>
        <w:t>výdaje na starobní důchody,</w:t>
      </w:r>
      <w:r w:rsidRPr="00CE2DE3">
        <w:rPr>
          <w:rFonts w:cs="Arial"/>
        </w:rPr>
        <w:t xml:space="preserve"> které (bez dávek vyplácených do ciziny) </w:t>
      </w:r>
      <w:r w:rsidRPr="00CE2DE3">
        <w:rPr>
          <w:rFonts w:cs="Arial"/>
          <w:b/>
        </w:rPr>
        <w:t>vzrostly</w:t>
      </w:r>
      <w:r w:rsidRPr="00CE2DE3">
        <w:rPr>
          <w:rFonts w:cs="Arial"/>
        </w:rPr>
        <w:t xml:space="preserve"> o 7,1 mld. Kč </w:t>
      </w:r>
      <w:r w:rsidRPr="00CE2DE3">
        <w:rPr>
          <w:rFonts w:cs="Arial"/>
          <w:b/>
        </w:rPr>
        <w:t>na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>227,9 mld. Kč.</w:t>
      </w:r>
      <w:r w:rsidRPr="00CE2DE3">
        <w:rPr>
          <w:rFonts w:cs="Arial"/>
        </w:rPr>
        <w:t xml:space="preserve"> Jejich podíl na celkovém objemu výdajů na dávky důchodového pojištění dosáhl 81,7 %. Výdaje </w:t>
      </w:r>
      <w:r w:rsidRPr="00CE2DE3">
        <w:rPr>
          <w:rFonts w:cs="Arial"/>
          <w:b/>
        </w:rPr>
        <w:t>na invalidní důchody</w:t>
      </w:r>
      <w:r w:rsidRPr="00CE2DE3">
        <w:rPr>
          <w:rFonts w:cs="Arial"/>
        </w:rPr>
        <w:t xml:space="preserve"> činily </w:t>
      </w:r>
      <w:r w:rsidRPr="00CE2DE3">
        <w:rPr>
          <w:rFonts w:cs="Arial"/>
          <w:b/>
        </w:rPr>
        <w:t>31,7 mld. Kč</w:t>
      </w:r>
      <w:r w:rsidRPr="00CE2DE3">
        <w:rPr>
          <w:rFonts w:cs="Arial"/>
        </w:rPr>
        <w:t xml:space="preserve"> stejně jako v 1.</w:t>
      </w:r>
      <w:r w:rsidR="00CC3DD7" w:rsidRPr="00CE2DE3">
        <w:rPr>
          <w:rFonts w:cs="Arial"/>
        </w:rPr>
        <w:t> </w:t>
      </w:r>
      <w:r w:rsidRPr="00CE2DE3">
        <w:rPr>
          <w:rFonts w:cs="Arial"/>
        </w:rPr>
        <w:t>–</w:t>
      </w:r>
      <w:r w:rsidR="00CC3DD7" w:rsidRPr="00CE2DE3">
        <w:rPr>
          <w:rFonts w:cs="Arial"/>
        </w:rPr>
        <w:t> </w:t>
      </w:r>
      <w:r w:rsidRPr="00CE2DE3">
        <w:rPr>
          <w:rFonts w:cs="Arial"/>
        </w:rPr>
        <w:t>3.</w:t>
      </w:r>
      <w:r w:rsidR="00CC3DD7" w:rsidRPr="00CE2DE3">
        <w:rPr>
          <w:rFonts w:cs="Arial"/>
        </w:rPr>
        <w:t> </w:t>
      </w:r>
      <w:r w:rsidRPr="00CE2DE3">
        <w:rPr>
          <w:rFonts w:cs="Arial"/>
        </w:rPr>
        <w:t xml:space="preserve">čtvrtletí roku 2014. Rovněž výdaje na </w:t>
      </w:r>
      <w:r w:rsidRPr="00CE2DE3">
        <w:rPr>
          <w:rFonts w:cs="Arial"/>
          <w:b/>
        </w:rPr>
        <w:t xml:space="preserve">pozůstalostní důchody ve výši 19,3 Kč </w:t>
      </w:r>
      <w:r w:rsidRPr="00CE2DE3">
        <w:rPr>
          <w:rFonts w:cs="Arial"/>
        </w:rPr>
        <w:t>zůstaly na stejné úrovni.</w:t>
      </w:r>
    </w:p>
    <w:p w:rsidR="000F100F" w:rsidRPr="00CE2DE3" w:rsidRDefault="000F100F" w:rsidP="000F100F">
      <w:pPr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  <w:r w:rsidRPr="00CE2DE3">
        <w:rPr>
          <w:rFonts w:cs="Arial"/>
          <w:b/>
        </w:rPr>
        <w:tab/>
        <w:t>Průměrná výše</w:t>
      </w:r>
      <w:r w:rsidRPr="00CE2DE3">
        <w:rPr>
          <w:rFonts w:cs="Arial"/>
        </w:rPr>
        <w:t xml:space="preserve"> (samostatně vypláceného) </w:t>
      </w:r>
      <w:r w:rsidRPr="00CE2DE3">
        <w:rPr>
          <w:rFonts w:cs="Arial"/>
          <w:b/>
        </w:rPr>
        <w:t>starobního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  <w:bCs/>
        </w:rPr>
        <w:t xml:space="preserve">důchodu se </w:t>
      </w:r>
      <w:r w:rsidRPr="00CE2DE3">
        <w:rPr>
          <w:rFonts w:cs="Arial"/>
          <w:bCs/>
        </w:rPr>
        <w:t>v období leden – září 2015 meziročně</w:t>
      </w:r>
      <w:r w:rsidRPr="00CE2DE3">
        <w:rPr>
          <w:rFonts w:cs="Arial"/>
          <w:b/>
          <w:bCs/>
        </w:rPr>
        <w:t xml:space="preserve"> zvýšila </w:t>
      </w:r>
      <w:r w:rsidRPr="00CE2DE3">
        <w:rPr>
          <w:rFonts w:cs="Arial"/>
        </w:rPr>
        <w:t>o 264 Kč (</w:t>
      </w:r>
      <w:r w:rsidRPr="00CE2DE3">
        <w:rPr>
          <w:rFonts w:cs="Arial"/>
          <w:bCs/>
        </w:rPr>
        <w:t>o 2,4 %</w:t>
      </w:r>
      <w:r w:rsidRPr="00CE2DE3">
        <w:rPr>
          <w:rFonts w:cs="Arial"/>
        </w:rPr>
        <w:t xml:space="preserve">) </w:t>
      </w:r>
      <w:r w:rsidRPr="00CE2DE3">
        <w:rPr>
          <w:rFonts w:cs="Arial"/>
          <w:b/>
          <w:bCs/>
        </w:rPr>
        <w:t>na 11 322 Kč</w:t>
      </w:r>
      <w:r w:rsidRPr="00CE2DE3">
        <w:rPr>
          <w:rFonts w:cs="Arial"/>
          <w:b/>
        </w:rPr>
        <w:t>,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  <w:bCs/>
        </w:rPr>
        <w:t>v reálném vyjádření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>se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>zvýšila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>o 2,3 %</w:t>
      </w:r>
      <w:r w:rsidRPr="00CE2DE3">
        <w:rPr>
          <w:rFonts w:cs="Arial"/>
        </w:rPr>
        <w:t xml:space="preserve"> (při použití indexu životních nákladů domácností důchodců, který činil 100,1 %).</w:t>
      </w: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  <w:b/>
        </w:rPr>
      </w:pPr>
      <w:r w:rsidRPr="00CE2DE3">
        <w:rPr>
          <w:rFonts w:cs="Arial"/>
        </w:rPr>
        <w:tab/>
      </w:r>
      <w:r w:rsidRPr="00CE2DE3">
        <w:rPr>
          <w:rFonts w:cs="Arial"/>
          <w:b/>
        </w:rPr>
        <w:t>V září 2015:</w:t>
      </w:r>
    </w:p>
    <w:p w:rsidR="000F100F" w:rsidRPr="00CE2DE3" w:rsidRDefault="000F100F" w:rsidP="000F100F">
      <w:pPr>
        <w:pStyle w:val="Odstavecseseznamem"/>
        <w:numPr>
          <w:ilvl w:val="0"/>
          <w:numId w:val="25"/>
        </w:numPr>
        <w:spacing w:after="240"/>
        <w:jc w:val="both"/>
        <w:rPr>
          <w:rFonts w:cs="Arial"/>
          <w:b/>
        </w:rPr>
      </w:pPr>
      <w:r w:rsidRPr="00CE2DE3">
        <w:rPr>
          <w:rFonts w:cs="Arial"/>
        </w:rPr>
        <w:t xml:space="preserve">pobíralo důchod </w:t>
      </w:r>
      <w:r w:rsidRPr="00CE2DE3">
        <w:rPr>
          <w:rFonts w:cs="Arial"/>
          <w:b/>
        </w:rPr>
        <w:t xml:space="preserve">2 860,8 tis. osob, </w:t>
      </w:r>
      <w:r w:rsidRPr="00CE2DE3">
        <w:rPr>
          <w:rFonts w:cs="Arial"/>
        </w:rPr>
        <w:t>přičemž</w:t>
      </w:r>
      <w:r w:rsidRPr="00CE2DE3">
        <w:rPr>
          <w:rFonts w:cs="Arial"/>
          <w:b/>
        </w:rPr>
        <w:t xml:space="preserve"> jejich počet</w:t>
      </w:r>
      <w:r w:rsidRPr="00CE2DE3">
        <w:rPr>
          <w:rFonts w:cs="Arial"/>
        </w:rPr>
        <w:t xml:space="preserve"> se meziročně </w:t>
      </w:r>
      <w:r w:rsidRPr="00CE2DE3">
        <w:rPr>
          <w:rFonts w:cs="Arial"/>
          <w:b/>
        </w:rPr>
        <w:t>zvýšil</w:t>
      </w:r>
      <w:r w:rsidRPr="00CE2DE3">
        <w:rPr>
          <w:rFonts w:cs="Arial"/>
        </w:rPr>
        <w:t xml:space="preserve"> o 3,5</w:t>
      </w:r>
      <w:r w:rsidR="00EC6787" w:rsidRPr="00CE2DE3">
        <w:rPr>
          <w:rFonts w:cs="Arial"/>
        </w:rPr>
        <w:t> </w:t>
      </w:r>
      <w:r w:rsidRPr="00CE2DE3">
        <w:rPr>
          <w:rFonts w:cs="Arial"/>
        </w:rPr>
        <w:t xml:space="preserve">tis. </w:t>
      </w:r>
      <w:r w:rsidRPr="00CE2DE3">
        <w:rPr>
          <w:rFonts w:cs="Arial"/>
          <w:b/>
        </w:rPr>
        <w:t xml:space="preserve">Starobní důchod </w:t>
      </w:r>
      <w:r w:rsidRPr="00CE2DE3">
        <w:rPr>
          <w:rFonts w:cs="Arial"/>
        </w:rPr>
        <w:t>(včetně poměrného)</w:t>
      </w:r>
      <w:r w:rsidRPr="00CE2DE3">
        <w:rPr>
          <w:rFonts w:cs="Arial"/>
          <w:b/>
        </w:rPr>
        <w:t xml:space="preserve"> </w:t>
      </w:r>
      <w:r w:rsidRPr="00CE2DE3">
        <w:rPr>
          <w:rFonts w:cs="Arial"/>
        </w:rPr>
        <w:t xml:space="preserve">pobíralo </w:t>
      </w:r>
      <w:r w:rsidRPr="00CE2DE3">
        <w:rPr>
          <w:rFonts w:cs="Arial"/>
          <w:b/>
        </w:rPr>
        <w:t>2 370,7 tis. osob</w:t>
      </w:r>
      <w:r w:rsidRPr="00CE2DE3">
        <w:rPr>
          <w:rFonts w:cs="Arial"/>
        </w:rPr>
        <w:t xml:space="preserve"> (o</w:t>
      </w:r>
      <w:r w:rsidR="00EC6787" w:rsidRPr="00CE2DE3">
        <w:rPr>
          <w:rFonts w:cs="Arial"/>
        </w:rPr>
        <w:t> </w:t>
      </w:r>
      <w:r w:rsidRPr="00CE2DE3">
        <w:rPr>
          <w:rFonts w:cs="Arial"/>
        </w:rPr>
        <w:t xml:space="preserve">13,0 tis. osob více než v září 2014), z toho </w:t>
      </w:r>
      <w:r w:rsidRPr="00CE2DE3">
        <w:rPr>
          <w:rFonts w:cs="Arial"/>
          <w:b/>
        </w:rPr>
        <w:t>trvale krácený předčasný důchod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>578,4 tis.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>osob</w:t>
      </w:r>
      <w:r w:rsidRPr="00CE2DE3">
        <w:rPr>
          <w:rFonts w:cs="Arial"/>
        </w:rPr>
        <w:t xml:space="preserve"> (o 21,6 tis. více). Počty příjemců ostatních druhů důchodů se meziročně snížily, a to invalidních o 6,0 tis., vdovských a vdoveckých o 2,2 tis. a sirotčích o 1,2 tis.,</w:t>
      </w:r>
    </w:p>
    <w:p w:rsidR="000F100F" w:rsidRPr="00CE2DE3" w:rsidRDefault="000F100F" w:rsidP="000F100F">
      <w:pPr>
        <w:pStyle w:val="Odstavecseseznamem"/>
        <w:numPr>
          <w:ilvl w:val="0"/>
          <w:numId w:val="25"/>
        </w:numPr>
        <w:spacing w:after="240"/>
        <w:jc w:val="both"/>
        <w:rPr>
          <w:rFonts w:cs="Arial"/>
          <w:b/>
        </w:rPr>
      </w:pPr>
      <w:r w:rsidRPr="00CE2DE3">
        <w:rPr>
          <w:rFonts w:cs="Arial"/>
          <w:b/>
        </w:rPr>
        <w:t xml:space="preserve">průměrný </w:t>
      </w:r>
      <w:r w:rsidRPr="00CE2DE3">
        <w:rPr>
          <w:rFonts w:cs="Arial"/>
        </w:rPr>
        <w:t xml:space="preserve">nominální </w:t>
      </w:r>
      <w:r w:rsidRPr="00CE2DE3">
        <w:rPr>
          <w:rFonts w:cs="Arial"/>
          <w:b/>
        </w:rPr>
        <w:t xml:space="preserve">starobní důchod </w:t>
      </w:r>
      <w:r w:rsidRPr="00CE2DE3">
        <w:rPr>
          <w:rFonts w:cs="Arial"/>
        </w:rPr>
        <w:t xml:space="preserve">(vyplácený samostatně) </w:t>
      </w:r>
      <w:r w:rsidRPr="00CE2DE3">
        <w:rPr>
          <w:rFonts w:cs="Arial"/>
          <w:b/>
        </w:rPr>
        <w:t xml:space="preserve">dosáhl 11 349 Kč </w:t>
      </w:r>
      <w:r w:rsidRPr="00CE2DE3">
        <w:rPr>
          <w:rFonts w:cs="Arial"/>
        </w:rPr>
        <w:t>a</w:t>
      </w:r>
      <w:r w:rsidRPr="00CE2DE3">
        <w:rPr>
          <w:rFonts w:cs="Arial"/>
          <w:b/>
        </w:rPr>
        <w:t xml:space="preserve"> převýšil</w:t>
      </w:r>
      <w:r w:rsidRPr="00CE2DE3">
        <w:rPr>
          <w:rFonts w:cs="Arial"/>
        </w:rPr>
        <w:t xml:space="preserve"> o 268 Kč (tj. </w:t>
      </w:r>
      <w:r w:rsidRPr="00CE2DE3">
        <w:rPr>
          <w:rFonts w:cs="Arial"/>
          <w:b/>
        </w:rPr>
        <w:t>o 2,4 %</w:t>
      </w:r>
      <w:r w:rsidRPr="00CE2DE3">
        <w:rPr>
          <w:rFonts w:cs="Arial"/>
        </w:rPr>
        <w:t xml:space="preserve">) skutečnost stejného měsíce roku </w:t>
      </w:r>
      <w:r w:rsidRPr="00CE2DE3">
        <w:rPr>
          <w:rFonts w:cs="Arial"/>
        </w:rPr>
        <w:lastRenderedPageBreak/>
        <w:t>2014 (tabulka č.</w:t>
      </w:r>
      <w:r w:rsidR="00EC6787" w:rsidRPr="00CE2DE3">
        <w:rPr>
          <w:rFonts w:cs="Arial"/>
        </w:rPr>
        <w:t> </w:t>
      </w:r>
      <w:r w:rsidRPr="00CE2DE3">
        <w:rPr>
          <w:rFonts w:cs="Arial"/>
        </w:rPr>
        <w:t xml:space="preserve">10). U </w:t>
      </w:r>
      <w:r w:rsidRPr="00CE2DE3">
        <w:rPr>
          <w:rFonts w:cs="Arial"/>
          <w:b/>
        </w:rPr>
        <w:t>žen</w:t>
      </w:r>
      <w:r w:rsidRPr="00CE2DE3">
        <w:rPr>
          <w:rFonts w:cs="Arial"/>
        </w:rPr>
        <w:t xml:space="preserve"> činil 10 300 Kč a představoval </w:t>
      </w:r>
      <w:r w:rsidRPr="00CE2DE3">
        <w:rPr>
          <w:rFonts w:cs="Arial"/>
          <w:b/>
        </w:rPr>
        <w:t>82,0 %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>průměrného důchodu mužů</w:t>
      </w:r>
      <w:r w:rsidRPr="00CE2DE3">
        <w:rPr>
          <w:rFonts w:cs="Arial"/>
        </w:rPr>
        <w:t xml:space="preserve"> (12 554 Kč). Průměrná výše trvale kráceného předčasného důchodu byla oproti průměrnému starobnímu důchodu o</w:t>
      </w:r>
      <w:r w:rsidR="00EC6787" w:rsidRPr="00CE2DE3">
        <w:rPr>
          <w:rFonts w:cs="Arial"/>
        </w:rPr>
        <w:t> </w:t>
      </w:r>
      <w:r w:rsidRPr="00CE2DE3">
        <w:rPr>
          <w:rFonts w:cs="Arial"/>
        </w:rPr>
        <w:t>1 239 Kč nižší a dosáhla 10 110 Kč (o 228 Kč více než v září roku 2014), z toho u mužů 11 249 Kč a u žen 9 142 Kč,</w:t>
      </w:r>
    </w:p>
    <w:p w:rsidR="000F100F" w:rsidRPr="00CE2DE3" w:rsidRDefault="000F100F" w:rsidP="000F100F">
      <w:pPr>
        <w:pStyle w:val="Odstavecseseznamem"/>
        <w:numPr>
          <w:ilvl w:val="0"/>
          <w:numId w:val="25"/>
        </w:numPr>
        <w:jc w:val="both"/>
        <w:rPr>
          <w:rFonts w:cs="Arial"/>
          <w:b/>
        </w:rPr>
      </w:pPr>
      <w:r w:rsidRPr="00CE2DE3">
        <w:rPr>
          <w:rFonts w:cs="Arial"/>
        </w:rPr>
        <w:t>pobíralo samostatně vyplácený starobní důchod ve výši</w:t>
      </w:r>
      <w:r w:rsidRPr="00CE2DE3">
        <w:rPr>
          <w:rFonts w:cs="Arial"/>
          <w:b/>
        </w:rPr>
        <w:t xml:space="preserve"> do 10 999 Kč měsíčně 46,3 % </w:t>
      </w:r>
      <w:r w:rsidRPr="00CE2DE3">
        <w:rPr>
          <w:rFonts w:cs="Arial"/>
        </w:rPr>
        <w:t>osob, ve výši</w:t>
      </w:r>
      <w:r w:rsidRPr="00CE2DE3">
        <w:rPr>
          <w:rFonts w:cs="Arial"/>
          <w:b/>
        </w:rPr>
        <w:t xml:space="preserve"> 11 000 Kč – 13 999 Kč </w:t>
      </w:r>
      <w:r w:rsidRPr="00CE2DE3">
        <w:rPr>
          <w:rFonts w:cs="Arial"/>
        </w:rPr>
        <w:t>měsíčně</w:t>
      </w:r>
      <w:r w:rsidRPr="00CE2DE3">
        <w:rPr>
          <w:rFonts w:cs="Arial"/>
          <w:b/>
        </w:rPr>
        <w:t xml:space="preserve"> 40,9 % </w:t>
      </w:r>
      <w:r w:rsidRPr="00CE2DE3">
        <w:rPr>
          <w:rFonts w:cs="Arial"/>
        </w:rPr>
        <w:t>osob,</w:t>
      </w:r>
      <w:r w:rsidRPr="00CE2DE3">
        <w:rPr>
          <w:rFonts w:cs="Arial"/>
          <w:b/>
        </w:rPr>
        <w:t xml:space="preserve"> více než 14 000 Kč </w:t>
      </w:r>
      <w:r w:rsidRPr="00CE2DE3">
        <w:rPr>
          <w:rFonts w:cs="Arial"/>
        </w:rPr>
        <w:t>měsíčně mělo</w:t>
      </w:r>
      <w:r w:rsidRPr="00CE2DE3">
        <w:rPr>
          <w:rFonts w:cs="Arial"/>
          <w:b/>
        </w:rPr>
        <w:t xml:space="preserve"> 12,8 % </w:t>
      </w:r>
      <w:r w:rsidRPr="00CE2DE3">
        <w:rPr>
          <w:rFonts w:cs="Arial"/>
        </w:rPr>
        <w:t>důchodců.</w:t>
      </w: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  <w:t xml:space="preserve">Na </w:t>
      </w:r>
      <w:r w:rsidRPr="00CE2DE3">
        <w:rPr>
          <w:rFonts w:cs="Arial"/>
          <w:b/>
          <w:bCs/>
          <w:u w:val="single"/>
        </w:rPr>
        <w:t>dávkách státní sociální podpory a pěstounské péče</w:t>
      </w:r>
      <w:r w:rsidRPr="00CE2DE3">
        <w:rPr>
          <w:rFonts w:cs="Arial"/>
          <w:b/>
          <w:bCs/>
        </w:rPr>
        <w:t xml:space="preserve"> </w:t>
      </w:r>
      <w:r w:rsidRPr="00CE2DE3">
        <w:rPr>
          <w:rFonts w:cs="Arial"/>
        </w:rPr>
        <w:t xml:space="preserve">bylo od ledna do září 2015 </w:t>
      </w:r>
      <w:r w:rsidRPr="00CE2DE3">
        <w:rPr>
          <w:rFonts w:cs="Arial"/>
          <w:b/>
          <w:bCs/>
        </w:rPr>
        <w:t xml:space="preserve">vyplaceno 28,4 mld. Kč </w:t>
      </w:r>
      <w:r w:rsidRPr="00CE2DE3">
        <w:rPr>
          <w:rFonts w:cs="Arial"/>
        </w:rPr>
        <w:t xml:space="preserve">a zůstaly tak se 7,9 procentním podílem na celkových sociálních příjmech obyvatel nadále druhou nejvýznamnější složkou sociálních příjmů domácností. V hodnoceném období bylo touto formou vyplaceno meziročně </w:t>
      </w:r>
      <w:r w:rsidRPr="00CE2DE3">
        <w:rPr>
          <w:rFonts w:cs="Arial"/>
          <w:b/>
        </w:rPr>
        <w:t>o 48,2 mil. Kč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>více</w:t>
      </w:r>
      <w:r w:rsidRPr="00CE2DE3">
        <w:rPr>
          <w:rFonts w:cs="Arial"/>
        </w:rPr>
        <w:t xml:space="preserve"> finančních prostředků (</w:t>
      </w:r>
      <w:r w:rsidRPr="00CE2DE3">
        <w:rPr>
          <w:rFonts w:cs="Arial"/>
          <w:b/>
        </w:rPr>
        <w:t>o 0,2 %</w:t>
      </w:r>
      <w:r w:rsidRPr="00CE2DE3">
        <w:rPr>
          <w:rFonts w:cs="Arial"/>
        </w:rPr>
        <w:t>) než ve stejném období předchozího roku – viz tabulky č. 9 a 11 v příloze.</w:t>
      </w:r>
    </w:p>
    <w:p w:rsidR="000F100F" w:rsidRPr="00CE2DE3" w:rsidRDefault="000F100F" w:rsidP="000F100F">
      <w:pPr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</w:r>
      <w:r w:rsidRPr="00CE2DE3">
        <w:rPr>
          <w:rFonts w:cs="Arial"/>
          <w:b/>
        </w:rPr>
        <w:t>Výdaje na</w:t>
      </w:r>
      <w:r w:rsidRPr="00CE2DE3">
        <w:rPr>
          <w:rFonts w:cs="Arial"/>
        </w:rPr>
        <w:t xml:space="preserve"> rozhodující dávku tohoto systému </w:t>
      </w:r>
      <w:r w:rsidRPr="00CE2DE3">
        <w:rPr>
          <w:rFonts w:cs="Arial"/>
          <w:b/>
          <w:bCs/>
        </w:rPr>
        <w:t xml:space="preserve">– rodičovský příspěvek </w:t>
      </w:r>
      <w:r w:rsidRPr="00CE2DE3">
        <w:rPr>
          <w:rFonts w:cs="Arial"/>
        </w:rPr>
        <w:t>(s podílem 59,5</w:t>
      </w:r>
      <w:r w:rsidR="00EC6787" w:rsidRPr="00CE2DE3">
        <w:rPr>
          <w:rFonts w:cs="Arial"/>
        </w:rPr>
        <w:t> </w:t>
      </w:r>
      <w:r w:rsidRPr="00CE2DE3">
        <w:rPr>
          <w:rFonts w:cs="Arial"/>
        </w:rPr>
        <w:t xml:space="preserve">% na celkovém objemu těchto dávek) </w:t>
      </w:r>
      <w:r w:rsidRPr="00CE2DE3">
        <w:rPr>
          <w:rFonts w:cs="Arial"/>
          <w:b/>
          <w:bCs/>
        </w:rPr>
        <w:t>klesly o 2,6 %</w:t>
      </w:r>
      <w:r w:rsidRPr="00CE2DE3">
        <w:rPr>
          <w:rFonts w:cs="Arial"/>
          <w:bCs/>
        </w:rPr>
        <w:t xml:space="preserve"> (o 0,5 mld. Kč)</w:t>
      </w:r>
      <w:r w:rsidRPr="00CE2DE3">
        <w:rPr>
          <w:rFonts w:cs="Arial"/>
          <w:b/>
          <w:bCs/>
        </w:rPr>
        <w:t xml:space="preserve"> </w:t>
      </w:r>
      <w:r w:rsidRPr="00CE2DE3">
        <w:rPr>
          <w:rFonts w:cs="Arial"/>
          <w:bCs/>
        </w:rPr>
        <w:t>na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>16,9 </w:t>
      </w:r>
      <w:r w:rsidRPr="00CE2DE3">
        <w:rPr>
          <w:rFonts w:cs="Arial"/>
          <w:b/>
          <w:bCs/>
        </w:rPr>
        <w:t>mld. Kč.</w:t>
      </w:r>
      <w:r w:rsidRPr="00CE2DE3">
        <w:rPr>
          <w:rFonts w:cs="Arial"/>
        </w:rPr>
        <w:t xml:space="preserve"> Průměrný počet měsíčně poskytovaných rodičovských příspěvků se snížil o 1,3 %, tj. o 3,7 tis. na 277,8 tis. </w:t>
      </w:r>
    </w:p>
    <w:p w:rsidR="000F100F" w:rsidRPr="00CE2DE3" w:rsidRDefault="000F100F" w:rsidP="000F100F">
      <w:pPr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</w:r>
      <w:r w:rsidRPr="00CE2DE3">
        <w:rPr>
          <w:rFonts w:cs="Arial"/>
          <w:b/>
          <w:bCs/>
        </w:rPr>
        <w:t>Přírůstek</w:t>
      </w:r>
      <w:r w:rsidRPr="00CE2DE3">
        <w:rPr>
          <w:rFonts w:cs="Arial"/>
          <w:bCs/>
        </w:rPr>
        <w:t xml:space="preserve"> byl zaznamenán </w:t>
      </w:r>
      <w:r w:rsidRPr="00CE2DE3">
        <w:rPr>
          <w:rFonts w:cs="Arial"/>
          <w:b/>
          <w:bCs/>
        </w:rPr>
        <w:t>u</w:t>
      </w:r>
      <w:r w:rsidRPr="00CE2DE3">
        <w:rPr>
          <w:rFonts w:cs="Arial"/>
          <w:bCs/>
        </w:rPr>
        <w:t xml:space="preserve"> </w:t>
      </w:r>
      <w:r w:rsidRPr="00CE2DE3">
        <w:rPr>
          <w:rFonts w:cs="Arial"/>
          <w:b/>
          <w:bCs/>
        </w:rPr>
        <w:t>příspěvku na bydlení</w:t>
      </w:r>
      <w:r w:rsidRPr="00CE2DE3">
        <w:rPr>
          <w:rFonts w:cs="Arial"/>
          <w:bCs/>
        </w:rPr>
        <w:t xml:space="preserve"> (24,4 % podíl na celkové výši výdajů na dávky státní sociální podpory a pěstounské péče). </w:t>
      </w:r>
      <w:r w:rsidRPr="00CE2DE3">
        <w:rPr>
          <w:rFonts w:cs="Arial"/>
        </w:rPr>
        <w:t xml:space="preserve">V lednu až září 2015 na něj bylo vynaloženo </w:t>
      </w:r>
      <w:r w:rsidRPr="00CE2DE3">
        <w:rPr>
          <w:rFonts w:cs="Arial"/>
          <w:b/>
        </w:rPr>
        <w:t>6,9 </w:t>
      </w:r>
      <w:r w:rsidRPr="00CE2DE3">
        <w:rPr>
          <w:rFonts w:cs="Arial"/>
          <w:b/>
          <w:bCs/>
        </w:rPr>
        <w:t>mld. Kč,</w:t>
      </w:r>
      <w:r w:rsidRPr="00CE2DE3">
        <w:rPr>
          <w:rFonts w:cs="Arial"/>
          <w:bCs/>
        </w:rPr>
        <w:t xml:space="preserve"> tj.</w:t>
      </w:r>
      <w:r w:rsidRPr="00CE2DE3">
        <w:rPr>
          <w:rFonts w:cs="Arial"/>
          <w:b/>
          <w:bCs/>
        </w:rPr>
        <w:t xml:space="preserve"> </w:t>
      </w:r>
      <w:r w:rsidRPr="00CE2DE3">
        <w:rPr>
          <w:rFonts w:cs="Arial"/>
          <w:b/>
        </w:rPr>
        <w:t>o 4,6 %</w:t>
      </w:r>
      <w:r w:rsidRPr="00CE2DE3">
        <w:rPr>
          <w:rFonts w:cs="Arial"/>
        </w:rPr>
        <w:t xml:space="preserve"> (o 0,3 mld. Kč) </w:t>
      </w:r>
      <w:r w:rsidRPr="00CE2DE3">
        <w:rPr>
          <w:rFonts w:cs="Arial"/>
          <w:b/>
        </w:rPr>
        <w:t>více</w:t>
      </w:r>
      <w:r w:rsidRPr="00CE2DE3">
        <w:rPr>
          <w:rFonts w:cs="Arial"/>
        </w:rPr>
        <w:t xml:space="preserve"> při zvýšeném počtu v průměru měsíčně vyplácených dávek (o 3,0 %, tj. o  6,6 tis.) na 226,2 tis., jejichž </w:t>
      </w:r>
      <w:r w:rsidRPr="00CE2DE3">
        <w:rPr>
          <w:rFonts w:cs="Arial"/>
          <w:bCs/>
        </w:rPr>
        <w:t>průměrná výše vzrostla</w:t>
      </w:r>
      <w:r w:rsidRPr="00CE2DE3">
        <w:rPr>
          <w:rFonts w:cs="Arial"/>
        </w:rPr>
        <w:t xml:space="preserve"> z 3 362 </w:t>
      </w:r>
      <w:r w:rsidRPr="00CE2DE3">
        <w:rPr>
          <w:rFonts w:cs="Arial"/>
          <w:bCs/>
        </w:rPr>
        <w:t>Kč</w:t>
      </w:r>
      <w:r w:rsidRPr="00CE2DE3">
        <w:rPr>
          <w:rFonts w:cs="Arial"/>
        </w:rPr>
        <w:t xml:space="preserve"> na 3 417 Kč (o 1,6 %). </w:t>
      </w:r>
    </w:p>
    <w:p w:rsidR="000F100F" w:rsidRPr="00CE2DE3" w:rsidRDefault="000F100F" w:rsidP="000F100F">
      <w:pPr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  <w:t xml:space="preserve">Formou </w:t>
      </w:r>
      <w:r w:rsidRPr="00CE2DE3">
        <w:rPr>
          <w:rFonts w:cs="Arial"/>
          <w:b/>
          <w:bCs/>
        </w:rPr>
        <w:t xml:space="preserve">přídavku na dítě </w:t>
      </w:r>
      <w:r w:rsidRPr="00CE2DE3">
        <w:rPr>
          <w:rFonts w:cs="Arial"/>
          <w:bCs/>
        </w:rPr>
        <w:t>(s podílem 8,4 % na celkovém objemu dávek státní sociální podpory a pěstounské péče)</w:t>
      </w:r>
      <w:r w:rsidRPr="00CE2DE3">
        <w:rPr>
          <w:rFonts w:cs="Arial"/>
        </w:rPr>
        <w:t xml:space="preserve"> bylo vyplaceno</w:t>
      </w:r>
      <w:r w:rsidRPr="00CE2DE3">
        <w:rPr>
          <w:rFonts w:cs="Arial"/>
          <w:b/>
          <w:bCs/>
        </w:rPr>
        <w:t xml:space="preserve"> 2,4 mld. Kč </w:t>
      </w:r>
      <w:r w:rsidRPr="00CE2DE3">
        <w:rPr>
          <w:rFonts w:cs="Arial"/>
          <w:bCs/>
        </w:rPr>
        <w:t>(pokles o 4,1 %),</w:t>
      </w:r>
      <w:r w:rsidRPr="00CE2DE3">
        <w:rPr>
          <w:rFonts w:cs="Arial"/>
        </w:rPr>
        <w:t xml:space="preserve"> počet dávek se ve sledovaném období snížil o 5,1 % na 433,4 tis.</w:t>
      </w: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  <w:bCs/>
        </w:rPr>
      </w:pPr>
      <w:r w:rsidRPr="00CE2DE3">
        <w:rPr>
          <w:rFonts w:cs="Arial"/>
        </w:rPr>
        <w:tab/>
        <w:t xml:space="preserve">K výraznému zvýšení došlo v důsledku administrativních změn u </w:t>
      </w:r>
      <w:r w:rsidRPr="00CE2DE3">
        <w:rPr>
          <w:rFonts w:cs="Arial"/>
          <w:b/>
        </w:rPr>
        <w:t>porodného</w:t>
      </w:r>
      <w:r w:rsidRPr="00CE2DE3">
        <w:rPr>
          <w:rFonts w:cs="Arial"/>
        </w:rPr>
        <w:t>, které je od 1. ledna 2015 přiznáváno i na druhé narozené dítě rodinám s příjmy do 2,7 násobku životního minima.</w:t>
      </w:r>
      <w:r w:rsidRPr="00CE2DE3">
        <w:rPr>
          <w:rFonts w:cs="Arial"/>
          <w:bCs/>
        </w:rPr>
        <w:t xml:space="preserve"> Bylo na něj vyčerpáno </w:t>
      </w:r>
      <w:r w:rsidRPr="00CE2DE3">
        <w:rPr>
          <w:rFonts w:cs="Arial"/>
          <w:b/>
          <w:bCs/>
        </w:rPr>
        <w:t>186,5 mil. Kč,</w:t>
      </w:r>
      <w:r w:rsidRPr="00CE2DE3">
        <w:rPr>
          <w:rFonts w:cs="Arial"/>
          <w:bCs/>
        </w:rPr>
        <w:t xml:space="preserve"> tj. </w:t>
      </w:r>
      <w:r w:rsidRPr="00CE2DE3">
        <w:rPr>
          <w:rFonts w:cs="Arial"/>
          <w:b/>
          <w:bCs/>
        </w:rPr>
        <w:t>o 75,1 % více</w:t>
      </w:r>
      <w:r w:rsidRPr="00CE2DE3">
        <w:rPr>
          <w:rFonts w:cs="Arial"/>
          <w:bCs/>
        </w:rPr>
        <w:t xml:space="preserve"> než ve stejném období předchozího roku.</w:t>
      </w: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  <w:r w:rsidRPr="00CE2DE3">
        <w:rPr>
          <w:rFonts w:cs="Arial"/>
          <w:bCs/>
        </w:rPr>
        <w:lastRenderedPageBreak/>
        <w:tab/>
        <w:t xml:space="preserve">Na </w:t>
      </w:r>
      <w:r w:rsidRPr="00CE2DE3">
        <w:rPr>
          <w:rFonts w:cs="Arial"/>
          <w:b/>
          <w:bCs/>
        </w:rPr>
        <w:t>dávky pěstounské péče</w:t>
      </w:r>
      <w:r w:rsidRPr="00CE2DE3">
        <w:rPr>
          <w:rFonts w:cs="Arial"/>
          <w:bCs/>
        </w:rPr>
        <w:t xml:space="preserve"> bylo vynaloženo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>o 12,6 %</w:t>
      </w:r>
      <w:r w:rsidRPr="00CE2DE3">
        <w:rPr>
          <w:rFonts w:cs="Arial"/>
        </w:rPr>
        <w:t xml:space="preserve"> (o 222,3 mil. Kč) meziročně </w:t>
      </w:r>
      <w:r w:rsidRPr="00CE2DE3">
        <w:rPr>
          <w:rFonts w:cs="Arial"/>
          <w:b/>
        </w:rPr>
        <w:t>více</w:t>
      </w:r>
      <w:r w:rsidRPr="00CE2DE3">
        <w:rPr>
          <w:rFonts w:cs="Arial"/>
        </w:rPr>
        <w:t xml:space="preserve">, tedy </w:t>
      </w:r>
      <w:r w:rsidRPr="00CE2DE3">
        <w:rPr>
          <w:rFonts w:cs="Arial"/>
          <w:b/>
        </w:rPr>
        <w:t>2,0 </w:t>
      </w:r>
      <w:r w:rsidRPr="00CE2DE3">
        <w:rPr>
          <w:rFonts w:cs="Arial"/>
          <w:b/>
          <w:bCs/>
        </w:rPr>
        <w:t>mld. Kč</w:t>
      </w:r>
      <w:r w:rsidRPr="00CE2DE3">
        <w:rPr>
          <w:rFonts w:cs="Arial"/>
          <w:b/>
        </w:rPr>
        <w:t>.</w:t>
      </w:r>
      <w:r w:rsidRPr="00CE2DE3">
        <w:rPr>
          <w:rFonts w:cs="Arial"/>
        </w:rPr>
        <w:t xml:space="preserve"> Jejich průměrný měsíční počet vzrostl o 12,1 % (na 27,7 tis.). Je to důsledek zvyšujícího se počtu dětí v pěstounské péči i počtu pěstounů a také zvýšení odměny pěstouna v souvislosti se změnou právní úpravy od</w:t>
      </w:r>
      <w:r w:rsidR="00EC6787" w:rsidRPr="00CE2DE3">
        <w:rPr>
          <w:rFonts w:cs="Arial"/>
        </w:rPr>
        <w:t> </w:t>
      </w:r>
      <w:r w:rsidRPr="00CE2DE3">
        <w:rPr>
          <w:rFonts w:cs="Arial"/>
        </w:rPr>
        <w:t>ledna 2013 – viz tabulky č. 11 - 14 v příloze.</w:t>
      </w:r>
    </w:p>
    <w:p w:rsidR="000F100F" w:rsidRPr="00CE2DE3" w:rsidRDefault="000F100F" w:rsidP="000F100F">
      <w:pPr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after="240" w:line="360" w:lineRule="auto"/>
        <w:jc w:val="both"/>
        <w:rPr>
          <w:rFonts w:cs="Arial"/>
        </w:rPr>
      </w:pPr>
      <w:r w:rsidRPr="00CE2DE3">
        <w:rPr>
          <w:rFonts w:cs="Arial"/>
        </w:rPr>
        <w:tab/>
        <w:t xml:space="preserve">V pořadí </w:t>
      </w:r>
      <w:r w:rsidRPr="00CE2DE3">
        <w:rPr>
          <w:rFonts w:cs="Arial"/>
          <w:b/>
        </w:rPr>
        <w:t xml:space="preserve">třetí </w:t>
      </w:r>
      <w:r w:rsidRPr="00CE2DE3">
        <w:rPr>
          <w:rFonts w:cs="Arial"/>
        </w:rPr>
        <w:t xml:space="preserve">objemově </w:t>
      </w:r>
      <w:r w:rsidRPr="00CE2DE3">
        <w:rPr>
          <w:rFonts w:cs="Arial"/>
          <w:b/>
        </w:rPr>
        <w:t xml:space="preserve">největší položku </w:t>
      </w:r>
      <w:r w:rsidRPr="00CE2DE3">
        <w:rPr>
          <w:rFonts w:cs="Arial"/>
        </w:rPr>
        <w:t xml:space="preserve">sociálních příjmů domácností tvořily </w:t>
      </w:r>
      <w:r w:rsidRPr="00CE2DE3">
        <w:rPr>
          <w:rFonts w:cs="Arial"/>
          <w:b/>
          <w:u w:val="single"/>
        </w:rPr>
        <w:t>dávky nemocenského pojištění.</w:t>
      </w:r>
      <w:r w:rsidRPr="00CE2DE3">
        <w:rPr>
          <w:rFonts w:cs="Arial"/>
          <w:b/>
        </w:rPr>
        <w:t xml:space="preserve"> </w:t>
      </w:r>
      <w:r w:rsidRPr="00CE2DE3">
        <w:rPr>
          <w:rFonts w:cs="Arial"/>
        </w:rPr>
        <w:t xml:space="preserve">Touto formou bylo v 1. – 3. čtvrtletí 2015 poskytnuto </w:t>
      </w:r>
      <w:r w:rsidRPr="00CE2DE3">
        <w:rPr>
          <w:rFonts w:cs="Arial"/>
          <w:b/>
        </w:rPr>
        <w:t xml:space="preserve">18,1 mld. Kč, </w:t>
      </w:r>
      <w:r w:rsidRPr="00CE2DE3">
        <w:rPr>
          <w:rFonts w:cs="Arial"/>
        </w:rPr>
        <w:t xml:space="preserve">což bylo </w:t>
      </w:r>
      <w:r w:rsidRPr="00CE2DE3">
        <w:rPr>
          <w:rFonts w:cs="Arial"/>
          <w:b/>
        </w:rPr>
        <w:t>o 9,5 %</w:t>
      </w:r>
      <w:r w:rsidRPr="00CE2DE3">
        <w:rPr>
          <w:rFonts w:cs="Arial"/>
        </w:rPr>
        <w:t xml:space="preserve"> (o 1,6 mld. Kč) </w:t>
      </w:r>
      <w:r w:rsidRPr="00CE2DE3">
        <w:rPr>
          <w:rFonts w:cs="Arial"/>
          <w:b/>
        </w:rPr>
        <w:t xml:space="preserve">více </w:t>
      </w:r>
      <w:r w:rsidRPr="00CE2DE3">
        <w:rPr>
          <w:rFonts w:cs="Arial"/>
        </w:rPr>
        <w:t>než ve srovnatelném období předchozího roku.</w:t>
      </w:r>
    </w:p>
    <w:p w:rsidR="000F100F" w:rsidRPr="00CE2DE3" w:rsidRDefault="000F100F" w:rsidP="000F100F">
      <w:pPr>
        <w:spacing w:after="240" w:line="360" w:lineRule="auto"/>
        <w:jc w:val="both"/>
        <w:rPr>
          <w:rFonts w:cs="Arial"/>
        </w:rPr>
      </w:pPr>
      <w:r w:rsidRPr="00CE2DE3">
        <w:rPr>
          <w:rFonts w:cs="Arial"/>
        </w:rPr>
        <w:tab/>
        <w:t xml:space="preserve">Rozhodující dávkou bylo </w:t>
      </w:r>
      <w:r w:rsidRPr="00CE2DE3">
        <w:rPr>
          <w:rFonts w:cs="Arial"/>
          <w:b/>
        </w:rPr>
        <w:t>nemocenské;</w:t>
      </w:r>
      <w:r w:rsidRPr="00CE2DE3">
        <w:rPr>
          <w:rFonts w:cs="Arial"/>
        </w:rPr>
        <w:t xml:space="preserve"> jeho podíl na dávkách nemocenského</w:t>
      </w:r>
      <w:r w:rsidR="00EC6787" w:rsidRPr="00CE2DE3">
        <w:rPr>
          <w:rFonts w:cs="Arial"/>
        </w:rPr>
        <w:t xml:space="preserve"> </w:t>
      </w:r>
      <w:r w:rsidRPr="00CE2DE3">
        <w:rPr>
          <w:rFonts w:cs="Arial"/>
        </w:rPr>
        <w:t xml:space="preserve">pojištění činil 64,4 % a </w:t>
      </w:r>
      <w:r w:rsidRPr="00CE2DE3">
        <w:rPr>
          <w:rFonts w:cs="Arial"/>
          <w:b/>
          <w:bCs/>
        </w:rPr>
        <w:t>objem se zvýšil o 11,4 %</w:t>
      </w:r>
      <w:r w:rsidRPr="00CE2DE3">
        <w:rPr>
          <w:rFonts w:cs="Arial"/>
        </w:rPr>
        <w:t xml:space="preserve"> (o 1,2 mld. Kč) na </w:t>
      </w:r>
      <w:r w:rsidRPr="00CE2DE3">
        <w:rPr>
          <w:rFonts w:cs="Arial"/>
          <w:b/>
        </w:rPr>
        <w:t>11,6 mld.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 xml:space="preserve">Kč. </w:t>
      </w:r>
      <w:r w:rsidRPr="00CE2DE3">
        <w:rPr>
          <w:rFonts w:cs="Arial"/>
        </w:rPr>
        <w:t>Tento vývoj souvisí s ukončením přechodného období (od 1.</w:t>
      </w:r>
      <w:r w:rsidR="00EC6787" w:rsidRPr="00CE2DE3">
        <w:rPr>
          <w:rFonts w:cs="Arial"/>
        </w:rPr>
        <w:t> </w:t>
      </w:r>
      <w:r w:rsidRPr="00CE2DE3">
        <w:rPr>
          <w:rFonts w:cs="Arial"/>
        </w:rPr>
        <w:t>1.</w:t>
      </w:r>
      <w:r w:rsidR="00EC6787" w:rsidRPr="00CE2DE3">
        <w:rPr>
          <w:rFonts w:cs="Arial"/>
        </w:rPr>
        <w:t> </w:t>
      </w:r>
      <w:r w:rsidRPr="00CE2DE3">
        <w:rPr>
          <w:rFonts w:cs="Arial"/>
        </w:rPr>
        <w:t>2011 do 31.</w:t>
      </w:r>
      <w:r w:rsidR="00EC6787" w:rsidRPr="00CE2DE3">
        <w:rPr>
          <w:rFonts w:cs="Arial"/>
        </w:rPr>
        <w:t> </w:t>
      </w:r>
      <w:r w:rsidRPr="00CE2DE3">
        <w:rPr>
          <w:rFonts w:cs="Arial"/>
        </w:rPr>
        <w:t>12.</w:t>
      </w:r>
      <w:r w:rsidR="00EC6787" w:rsidRPr="00CE2DE3">
        <w:rPr>
          <w:rFonts w:cs="Arial"/>
        </w:rPr>
        <w:t xml:space="preserve"> </w:t>
      </w:r>
      <w:r w:rsidRPr="00CE2DE3">
        <w:rPr>
          <w:rFonts w:cs="Arial"/>
        </w:rPr>
        <w:t>2013), kdy zaměstnavatelé vypláceli náhradu mzdy po dobu až tří týdnů dočasné pracovní neschopnosti zaměstnance. Od 1.</w:t>
      </w:r>
      <w:r w:rsidR="00EC6787" w:rsidRPr="00CE2DE3">
        <w:rPr>
          <w:rFonts w:cs="Arial"/>
        </w:rPr>
        <w:t> </w:t>
      </w:r>
      <w:r w:rsidRPr="00CE2DE3">
        <w:rPr>
          <w:rFonts w:cs="Arial"/>
        </w:rPr>
        <w:t>1.</w:t>
      </w:r>
      <w:r w:rsidR="00EC6787" w:rsidRPr="00CE2DE3">
        <w:rPr>
          <w:rFonts w:cs="Arial"/>
        </w:rPr>
        <w:t> </w:t>
      </w:r>
      <w:r w:rsidRPr="00CE2DE3">
        <w:rPr>
          <w:rFonts w:cs="Arial"/>
        </w:rPr>
        <w:t>2014 náleží nemocenské již od 15. dne dočasné pracovní neschopnosti, což se projevuje růstem proplacených dnů na nemocenské.</w:t>
      </w:r>
    </w:p>
    <w:p w:rsidR="000F100F" w:rsidRPr="00CE2DE3" w:rsidRDefault="000F100F" w:rsidP="000F100F">
      <w:pPr>
        <w:spacing w:after="240" w:line="360" w:lineRule="auto"/>
        <w:jc w:val="both"/>
        <w:rPr>
          <w:rFonts w:cs="Arial"/>
        </w:rPr>
      </w:pPr>
      <w:r w:rsidRPr="00CE2DE3">
        <w:rPr>
          <w:rFonts w:cs="Arial"/>
        </w:rPr>
        <w:tab/>
      </w:r>
      <w:r w:rsidRPr="00CE2DE3">
        <w:rPr>
          <w:rFonts w:cs="Arial"/>
          <w:b/>
        </w:rPr>
        <w:t>Na peněžitou pomoc v mateřství</w:t>
      </w:r>
      <w:r w:rsidRPr="00CE2DE3">
        <w:rPr>
          <w:rFonts w:cs="Arial"/>
        </w:rPr>
        <w:t xml:space="preserve"> bylo za leden až září 2015 vyplaceno </w:t>
      </w:r>
      <w:r w:rsidRPr="00CE2DE3">
        <w:rPr>
          <w:rFonts w:cs="Arial"/>
          <w:b/>
        </w:rPr>
        <w:t>5,6 mld. Kč,</w:t>
      </w:r>
      <w:r w:rsidRPr="00CE2DE3">
        <w:rPr>
          <w:rFonts w:cs="Arial"/>
        </w:rPr>
        <w:t xml:space="preserve"> tedy </w:t>
      </w:r>
      <w:r w:rsidRPr="00CE2DE3">
        <w:rPr>
          <w:rFonts w:cs="Arial"/>
          <w:b/>
          <w:bCs/>
        </w:rPr>
        <w:t>o 3,5 %</w:t>
      </w:r>
      <w:r w:rsidRPr="00CE2DE3">
        <w:rPr>
          <w:rFonts w:cs="Arial"/>
          <w:bCs/>
        </w:rPr>
        <w:t xml:space="preserve"> (o 192,2 mil. Kč)</w:t>
      </w:r>
      <w:r w:rsidRPr="00CE2DE3">
        <w:rPr>
          <w:rFonts w:cs="Arial"/>
        </w:rPr>
        <w:t xml:space="preserve"> meziročně </w:t>
      </w:r>
      <w:r w:rsidRPr="00CE2DE3">
        <w:rPr>
          <w:rFonts w:cs="Arial"/>
          <w:b/>
        </w:rPr>
        <w:t>více.</w:t>
      </w:r>
      <w:r w:rsidRPr="00CE2DE3">
        <w:rPr>
          <w:rFonts w:cs="Arial"/>
        </w:rPr>
        <w:t xml:space="preserve"> Její podíl na dávkách nemocenského pojištění činil 31,2 %.</w:t>
      </w:r>
    </w:p>
    <w:p w:rsidR="000F100F" w:rsidRPr="00CE2DE3" w:rsidRDefault="000F100F" w:rsidP="000F100F">
      <w:pPr>
        <w:spacing w:after="240" w:line="360" w:lineRule="auto"/>
        <w:jc w:val="both"/>
        <w:rPr>
          <w:rFonts w:cs="Arial"/>
          <w:bCs/>
          <w:szCs w:val="24"/>
        </w:rPr>
      </w:pPr>
      <w:r w:rsidRPr="00CE2DE3">
        <w:rPr>
          <w:rFonts w:cs="Arial"/>
        </w:rPr>
        <w:tab/>
      </w:r>
      <w:r w:rsidRPr="00CE2DE3">
        <w:rPr>
          <w:rFonts w:cs="Arial"/>
          <w:szCs w:val="24"/>
        </w:rPr>
        <w:t xml:space="preserve">Výdaje na </w:t>
      </w:r>
      <w:r w:rsidRPr="00CE2DE3">
        <w:rPr>
          <w:rFonts w:cs="Arial"/>
          <w:b/>
          <w:bCs/>
          <w:szCs w:val="24"/>
        </w:rPr>
        <w:t xml:space="preserve">ošetřovné </w:t>
      </w:r>
      <w:r w:rsidRPr="00CE2DE3">
        <w:rPr>
          <w:rFonts w:cs="Arial"/>
          <w:bCs/>
          <w:szCs w:val="24"/>
        </w:rPr>
        <w:t>se ve</w:t>
      </w:r>
      <w:r w:rsidRPr="00CE2DE3">
        <w:rPr>
          <w:rFonts w:cs="Arial"/>
          <w:b/>
          <w:bCs/>
          <w:szCs w:val="24"/>
        </w:rPr>
        <w:t xml:space="preserve"> </w:t>
      </w:r>
      <w:r w:rsidRPr="00CE2DE3">
        <w:rPr>
          <w:rFonts w:cs="Arial"/>
          <w:bCs/>
          <w:szCs w:val="24"/>
        </w:rPr>
        <w:t xml:space="preserve">sledovaném období zvýšily </w:t>
      </w:r>
      <w:r w:rsidRPr="00CE2DE3">
        <w:rPr>
          <w:rFonts w:cs="Arial"/>
          <w:b/>
          <w:bCs/>
          <w:szCs w:val="24"/>
        </w:rPr>
        <w:t>o 30,8 %</w:t>
      </w:r>
      <w:r w:rsidRPr="00CE2DE3">
        <w:rPr>
          <w:rFonts w:cs="Arial"/>
          <w:bCs/>
          <w:szCs w:val="24"/>
        </w:rPr>
        <w:t xml:space="preserve"> (o 188,8  mil. Kč na </w:t>
      </w:r>
      <w:r w:rsidRPr="00CE2DE3">
        <w:rPr>
          <w:rFonts w:cs="Arial"/>
          <w:b/>
          <w:bCs/>
          <w:szCs w:val="24"/>
        </w:rPr>
        <w:t>0,8 mld. Kč</w:t>
      </w:r>
      <w:r w:rsidRPr="00CE2DE3">
        <w:rPr>
          <w:rFonts w:cs="Arial"/>
          <w:bCs/>
          <w:szCs w:val="24"/>
        </w:rPr>
        <w:t>).</w:t>
      </w:r>
    </w:p>
    <w:p w:rsidR="000F100F" w:rsidRPr="00CE2DE3" w:rsidRDefault="000F100F" w:rsidP="000F100F">
      <w:pPr>
        <w:spacing w:line="360" w:lineRule="auto"/>
        <w:jc w:val="both"/>
        <w:rPr>
          <w:rFonts w:cs="Arial"/>
          <w:szCs w:val="24"/>
        </w:rPr>
      </w:pPr>
      <w:r w:rsidRPr="00CE2DE3">
        <w:rPr>
          <w:rFonts w:cs="Arial"/>
          <w:bCs/>
          <w:szCs w:val="24"/>
        </w:rPr>
        <w:tab/>
      </w:r>
      <w:r w:rsidRPr="00CE2DE3">
        <w:rPr>
          <w:rFonts w:cs="Arial"/>
          <w:szCs w:val="24"/>
        </w:rPr>
        <w:t xml:space="preserve">Na </w:t>
      </w:r>
      <w:r w:rsidRPr="00CE2DE3">
        <w:rPr>
          <w:rFonts w:cs="Arial"/>
          <w:b/>
          <w:szCs w:val="24"/>
        </w:rPr>
        <w:t xml:space="preserve">vyrovnávacím příspěvku v těhotenství a mateřství, </w:t>
      </w:r>
      <w:r w:rsidRPr="00CE2DE3">
        <w:rPr>
          <w:rFonts w:cs="Arial"/>
          <w:szCs w:val="24"/>
        </w:rPr>
        <w:t>(jehož výše nemá podstatný vliv na celkový vývoj dávek nemocenského pojištění)</w:t>
      </w:r>
      <w:r w:rsidRPr="00CE2DE3">
        <w:rPr>
          <w:rFonts w:cs="Arial"/>
          <w:b/>
          <w:szCs w:val="24"/>
        </w:rPr>
        <w:t xml:space="preserve"> </w:t>
      </w:r>
      <w:r w:rsidRPr="00CE2DE3">
        <w:rPr>
          <w:rFonts w:cs="Arial"/>
          <w:szCs w:val="24"/>
        </w:rPr>
        <w:t xml:space="preserve">bylo vyplaceno </w:t>
      </w:r>
      <w:r w:rsidRPr="00CE2DE3">
        <w:rPr>
          <w:rFonts w:cs="Arial"/>
          <w:b/>
          <w:szCs w:val="24"/>
        </w:rPr>
        <w:t>6,8 mil. Kč</w:t>
      </w:r>
      <w:r w:rsidRPr="00CE2DE3">
        <w:rPr>
          <w:rFonts w:cs="Arial"/>
          <w:szCs w:val="24"/>
        </w:rPr>
        <w:t xml:space="preserve"> (</w:t>
      </w:r>
      <w:r w:rsidRPr="00CE2DE3">
        <w:rPr>
          <w:rFonts w:cs="Arial"/>
          <w:b/>
          <w:szCs w:val="24"/>
        </w:rPr>
        <w:t>zvýšení o 3,0 %</w:t>
      </w:r>
      <w:r w:rsidRPr="00CE2DE3">
        <w:rPr>
          <w:rFonts w:cs="Arial"/>
          <w:szCs w:val="24"/>
        </w:rPr>
        <w:t>), viz tabulku č. 15 v příloze.</w:t>
      </w:r>
    </w:p>
    <w:p w:rsidR="000F100F" w:rsidRPr="00CE2DE3" w:rsidRDefault="000F100F" w:rsidP="000F100F">
      <w:pPr>
        <w:spacing w:line="360" w:lineRule="auto"/>
        <w:jc w:val="both"/>
        <w:rPr>
          <w:rFonts w:cs="Arial"/>
          <w:szCs w:val="24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  <w:szCs w:val="24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  <w:r w:rsidRPr="00CE2DE3">
        <w:rPr>
          <w:rFonts w:cs="Arial"/>
          <w:szCs w:val="24"/>
        </w:rPr>
        <w:tab/>
      </w:r>
      <w:r w:rsidRPr="00CE2DE3">
        <w:rPr>
          <w:rFonts w:cs="Arial"/>
        </w:rPr>
        <w:t xml:space="preserve">Další významnou složkou sociálních příjmů domácností je </w:t>
      </w:r>
      <w:r w:rsidRPr="00CE2DE3">
        <w:rPr>
          <w:rFonts w:cs="Arial"/>
          <w:b/>
          <w:u w:val="single"/>
        </w:rPr>
        <w:t>příspěvek na péči.</w:t>
      </w:r>
      <w:r w:rsidRPr="00CE2DE3">
        <w:rPr>
          <w:rFonts w:cs="Arial"/>
          <w:b/>
        </w:rPr>
        <w:t xml:space="preserve"> </w:t>
      </w:r>
      <w:r w:rsidRPr="00CE2DE3">
        <w:rPr>
          <w:rFonts w:cs="Arial"/>
        </w:rPr>
        <w:t xml:space="preserve">V hodnoceném období bylo takto čerpáno </w:t>
      </w:r>
      <w:r w:rsidRPr="00CE2DE3">
        <w:rPr>
          <w:rFonts w:cs="Arial"/>
          <w:b/>
        </w:rPr>
        <w:t>15,8 mld. Kč,</w:t>
      </w:r>
      <w:r w:rsidRPr="00CE2DE3">
        <w:rPr>
          <w:rFonts w:cs="Arial"/>
        </w:rPr>
        <w:t xml:space="preserve"> což bylo </w:t>
      </w:r>
      <w:r w:rsidRPr="00CE2DE3">
        <w:rPr>
          <w:rFonts w:cs="Arial"/>
          <w:b/>
        </w:rPr>
        <w:t>o 3,9 %</w:t>
      </w:r>
      <w:r w:rsidRPr="00CE2DE3">
        <w:rPr>
          <w:rFonts w:cs="Arial"/>
        </w:rPr>
        <w:t xml:space="preserve"> (589,0 mil. Kč) meziročně </w:t>
      </w:r>
      <w:r w:rsidRPr="00CE2DE3">
        <w:rPr>
          <w:rFonts w:cs="Arial"/>
          <w:b/>
        </w:rPr>
        <w:t>více.</w:t>
      </w:r>
      <w:r w:rsidRPr="00CE2DE3">
        <w:rPr>
          <w:rFonts w:cs="Arial"/>
        </w:rPr>
        <w:t xml:space="preserve"> Ve všech krajích došlo k meziročnímu nárůstu, </w:t>
      </w:r>
      <w:r w:rsidRPr="00CE2DE3">
        <w:rPr>
          <w:rFonts w:cs="Arial"/>
        </w:rPr>
        <w:lastRenderedPageBreak/>
        <w:t xml:space="preserve">nejvíce v Jihomoravském kraji (5,2 %) – viz tabulku č. 16 v příloze. </w:t>
      </w:r>
      <w:r w:rsidRPr="00CE2DE3">
        <w:rPr>
          <w:rFonts w:cs="Arial"/>
          <w:b/>
        </w:rPr>
        <w:t xml:space="preserve">Měsíčně </w:t>
      </w:r>
      <w:r w:rsidRPr="00CE2DE3">
        <w:rPr>
          <w:rFonts w:cs="Arial"/>
        </w:rPr>
        <w:t xml:space="preserve">bylo v průměru vyplaceno </w:t>
      </w:r>
      <w:r w:rsidRPr="00CE2DE3">
        <w:rPr>
          <w:rFonts w:cs="Arial"/>
          <w:b/>
        </w:rPr>
        <w:t>336,5 tis. dávek,</w:t>
      </w:r>
      <w:r w:rsidRPr="00CE2DE3">
        <w:rPr>
          <w:rFonts w:cs="Arial"/>
        </w:rPr>
        <w:t xml:space="preserve"> z toho v I. stupni závislosti 101,2 tis. (32,5 %), ve II. stupni 109,9 tis. (32,7 %), ve III. stupni 74,6 tis. (22,2 %) a ve IV. stupni 42,8 tis. dávek (12,7 %).</w:t>
      </w: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E357FE" w:rsidRDefault="000F100F" w:rsidP="000F100F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  <w:t xml:space="preserve">Prostředky vyplacené formou </w:t>
      </w:r>
      <w:r w:rsidRPr="00CE2DE3">
        <w:rPr>
          <w:rFonts w:cs="Arial"/>
          <w:b/>
          <w:u w:val="single"/>
        </w:rPr>
        <w:t>podpory v nezaměstnanosti</w:t>
      </w:r>
      <w:r w:rsidRPr="00CE2DE3">
        <w:rPr>
          <w:rFonts w:cs="Arial"/>
          <w:b/>
        </w:rPr>
        <w:t xml:space="preserve"> </w:t>
      </w:r>
      <w:r w:rsidRPr="00CE2DE3">
        <w:rPr>
          <w:rFonts w:cs="Arial"/>
        </w:rPr>
        <w:t xml:space="preserve">se podílely na celkových sociálních příjmech 1,8 %. V lednu – září 2015 na ně bylo vyčerpáno </w:t>
      </w:r>
      <w:r w:rsidRPr="00CE2DE3">
        <w:rPr>
          <w:rFonts w:cs="Arial"/>
          <w:b/>
        </w:rPr>
        <w:t>6,5 mld. Kč</w:t>
      </w:r>
      <w:r w:rsidRPr="00CE2DE3">
        <w:rPr>
          <w:rFonts w:cs="Arial"/>
        </w:rPr>
        <w:t xml:space="preserve"> při meziročním </w:t>
      </w:r>
      <w:r w:rsidRPr="00CE2DE3">
        <w:rPr>
          <w:rFonts w:cs="Arial"/>
          <w:b/>
        </w:rPr>
        <w:t>poklesu o 11,8 %</w:t>
      </w:r>
      <w:r w:rsidR="00E357FE">
        <w:rPr>
          <w:rFonts w:cs="Arial"/>
          <w:b/>
        </w:rPr>
        <w:t xml:space="preserve"> </w:t>
      </w:r>
      <w:r w:rsidR="00E357FE" w:rsidRPr="00E357FE">
        <w:rPr>
          <w:rFonts w:cs="Arial"/>
        </w:rPr>
        <w:t>-</w:t>
      </w:r>
      <w:r w:rsidR="00E357FE">
        <w:rPr>
          <w:rFonts w:cs="Arial"/>
          <w:b/>
        </w:rPr>
        <w:t xml:space="preserve"> </w:t>
      </w:r>
      <w:r w:rsidR="00E357FE" w:rsidRPr="00E357FE">
        <w:rPr>
          <w:rFonts w:cs="Arial"/>
        </w:rPr>
        <w:t>viz tabulku č. 9</w:t>
      </w:r>
      <w:r w:rsidRPr="00CE2DE3">
        <w:rPr>
          <w:rFonts w:cs="Arial"/>
        </w:rPr>
        <w:t xml:space="preserve">. </w:t>
      </w:r>
    </w:p>
    <w:p w:rsidR="00E357FE" w:rsidRDefault="00E357FE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E357FE">
      <w:pPr>
        <w:spacing w:line="360" w:lineRule="auto"/>
        <w:ind w:firstLine="708"/>
        <w:jc w:val="both"/>
        <w:rPr>
          <w:rFonts w:cs="Arial"/>
        </w:rPr>
      </w:pPr>
      <w:r w:rsidRPr="00CE2DE3">
        <w:rPr>
          <w:rFonts w:cs="Arial"/>
        </w:rPr>
        <w:t xml:space="preserve">V uvedeném období se snížil </w:t>
      </w:r>
      <w:r w:rsidRPr="00CE2DE3">
        <w:rPr>
          <w:rFonts w:cs="Arial"/>
          <w:b/>
        </w:rPr>
        <w:t xml:space="preserve">průměrný podíl nezaměstnaných osob </w:t>
      </w:r>
      <w:r w:rsidRPr="00CE2DE3">
        <w:rPr>
          <w:rFonts w:cs="Arial"/>
        </w:rPr>
        <w:t xml:space="preserve">(podíl dosažitelných uchazečů o zaměstnání ve věku 15 až 64 let k obyvatelstvu stejného věku) ze 7,9 na </w:t>
      </w:r>
      <w:r w:rsidRPr="00CE2DE3">
        <w:rPr>
          <w:rFonts w:cs="Arial"/>
          <w:b/>
        </w:rPr>
        <w:t>6,8 %.</w:t>
      </w:r>
      <w:r w:rsidRPr="00CE2DE3">
        <w:rPr>
          <w:rFonts w:cs="Arial"/>
        </w:rPr>
        <w:t xml:space="preserve"> Průměrný počet evidovaných nezaměstnaných se snížil o 80,8 tis. na 493,0 tis., přičemž průměrný počet evidovaných nezaměstnaných </w:t>
      </w:r>
      <w:r w:rsidRPr="00CE2DE3">
        <w:rPr>
          <w:rFonts w:cs="Arial"/>
          <w:b/>
        </w:rPr>
        <w:t>s nárokem na podporu</w:t>
      </w:r>
      <w:r w:rsidRPr="00CE2DE3">
        <w:rPr>
          <w:rFonts w:cs="Arial"/>
        </w:rPr>
        <w:t xml:space="preserve"> v nezaměstnanosti klesl o 15,7 tis. na </w:t>
      </w:r>
      <w:r w:rsidRPr="00CE2DE3">
        <w:rPr>
          <w:rFonts w:cs="Arial"/>
          <w:b/>
        </w:rPr>
        <w:t>105,2 tis.</w:t>
      </w:r>
      <w:r w:rsidRPr="00CE2DE3">
        <w:rPr>
          <w:rFonts w:cs="Arial"/>
        </w:rPr>
        <w:t xml:space="preserve"> Podíl žen pobírajících podporu v nezaměstnanosti na celkovém počtu uchazečů s podporou činil 50,9 % (o 1,2 p. b. více než v 1. – 3. čtvrtletí 2014). Na jedno volné místo připadalo 5,8 uchazečů (ve</w:t>
      </w:r>
      <w:r w:rsidR="00D9447B" w:rsidRPr="00CE2DE3">
        <w:rPr>
          <w:rFonts w:cs="Arial"/>
        </w:rPr>
        <w:t> </w:t>
      </w:r>
      <w:r w:rsidRPr="00CE2DE3">
        <w:rPr>
          <w:rFonts w:cs="Arial"/>
        </w:rPr>
        <w:t>stejném období předchozího roku 12,6 uchazečů).</w:t>
      </w: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E357FE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</w:r>
      <w:r w:rsidRPr="00CE2DE3">
        <w:rPr>
          <w:rFonts w:cs="Arial"/>
          <w:b/>
        </w:rPr>
        <w:t>Průměrná výše podpory v nezaměstnanosti</w:t>
      </w:r>
      <w:r w:rsidRPr="00CE2DE3">
        <w:rPr>
          <w:rFonts w:cs="Arial"/>
        </w:rPr>
        <w:t xml:space="preserve"> se meziročně ve sledovaném období </w:t>
      </w:r>
      <w:r w:rsidRPr="00CE2DE3">
        <w:rPr>
          <w:rFonts w:cs="Arial"/>
          <w:b/>
        </w:rPr>
        <w:t>zvýšila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>o 3,6 %</w:t>
      </w:r>
      <w:r w:rsidRPr="00CE2DE3">
        <w:rPr>
          <w:rFonts w:cs="Arial"/>
        </w:rPr>
        <w:t xml:space="preserve"> (o 210 Kč) na </w:t>
      </w:r>
      <w:r w:rsidRPr="00CE2DE3">
        <w:rPr>
          <w:rFonts w:cs="Arial"/>
          <w:b/>
        </w:rPr>
        <w:t>6 129 Kč.</w:t>
      </w:r>
      <w:r w:rsidR="00E357FE">
        <w:rPr>
          <w:rFonts w:cs="Arial"/>
        </w:rPr>
        <w:t xml:space="preserve"> </w:t>
      </w:r>
      <w:r w:rsidRPr="00CE2DE3">
        <w:rPr>
          <w:rFonts w:cs="Arial"/>
        </w:rPr>
        <w:t>Průměrná výše podpory vzrostla ve všech krajích ČR. Nejnižší průměrnou úroveň podpory vykázal kraj Zlínský (5 715 Kč), nejvyšší hl. m. Praha (7 577 Kč) – viz tabulku č. 17 v příloze.</w:t>
      </w: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</w:r>
      <w:r w:rsidRPr="00CE2DE3">
        <w:rPr>
          <w:rFonts w:cs="Arial"/>
          <w:b/>
          <w:u w:val="single"/>
        </w:rPr>
        <w:t>Dávky pomoci v hmotné nouzi</w:t>
      </w:r>
      <w:r w:rsidRPr="00CE2DE3">
        <w:rPr>
          <w:rFonts w:cs="Arial"/>
          <w:szCs w:val="24"/>
        </w:rPr>
        <w:t xml:space="preserve"> byly čerpány ve </w:t>
      </w:r>
      <w:r w:rsidRPr="00CE2DE3">
        <w:rPr>
          <w:rFonts w:cs="Arial"/>
          <w:b/>
          <w:szCs w:val="24"/>
        </w:rPr>
        <w:t>výši 8,0 mld. Kč.</w:t>
      </w:r>
      <w:r w:rsidRPr="00CE2DE3">
        <w:rPr>
          <w:rFonts w:cs="Arial"/>
          <w:szCs w:val="24"/>
        </w:rPr>
        <w:t xml:space="preserve"> V porovnání s množstvím prostředků</w:t>
      </w:r>
      <w:r w:rsidRPr="00CE2DE3">
        <w:rPr>
          <w:rFonts w:cs="Arial"/>
        </w:rPr>
        <w:t xml:space="preserve"> poskytnutých touto formou v lednu – září 2014 se jednalo o jejich </w:t>
      </w:r>
      <w:r w:rsidRPr="00CE2DE3">
        <w:rPr>
          <w:rFonts w:cs="Arial"/>
          <w:b/>
        </w:rPr>
        <w:t>snížení</w:t>
      </w:r>
      <w:r w:rsidRPr="00CE2DE3">
        <w:rPr>
          <w:rFonts w:cs="Arial"/>
        </w:rPr>
        <w:t xml:space="preserve"> (</w:t>
      </w:r>
      <w:r w:rsidRPr="00CE2DE3">
        <w:rPr>
          <w:rFonts w:cs="Arial"/>
          <w:b/>
        </w:rPr>
        <w:t>o 6,1 %,</w:t>
      </w:r>
      <w:r w:rsidRPr="00CE2DE3">
        <w:rPr>
          <w:rFonts w:cs="Arial"/>
        </w:rPr>
        <w:t xml:space="preserve"> tj. </w:t>
      </w:r>
      <w:r w:rsidRPr="00CE2DE3">
        <w:rPr>
          <w:rFonts w:cs="Arial"/>
          <w:b/>
        </w:rPr>
        <w:t>o 0,5 mld. Kč</w:t>
      </w:r>
      <w:r w:rsidRPr="00CE2DE3">
        <w:rPr>
          <w:rFonts w:cs="Arial"/>
        </w:rPr>
        <w:t>) – viz tabulku č. 18 v příloze.</w:t>
      </w:r>
    </w:p>
    <w:p w:rsidR="000F100F" w:rsidRPr="00CE2DE3" w:rsidRDefault="000F100F" w:rsidP="000F100F">
      <w:pPr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</w:r>
      <w:r w:rsidRPr="00CE2DE3">
        <w:rPr>
          <w:rFonts w:cs="Arial"/>
          <w:bCs/>
        </w:rPr>
        <w:t>Výdaje na</w:t>
      </w:r>
      <w:r w:rsidRPr="00CE2DE3">
        <w:rPr>
          <w:rFonts w:cs="Arial"/>
          <w:b/>
        </w:rPr>
        <w:t xml:space="preserve"> příspěvek na živobytí </w:t>
      </w:r>
      <w:r w:rsidRPr="00CE2DE3">
        <w:rPr>
          <w:rFonts w:cs="Arial"/>
        </w:rPr>
        <w:t xml:space="preserve">(jejichž podíl činil ve sledovaném období 69,3 % z úhrnného objemu prostředků na dávky pomoci v hmotné nouzi) klesly </w:t>
      </w:r>
      <w:r w:rsidRPr="00CE2DE3">
        <w:rPr>
          <w:rFonts w:cs="Arial"/>
          <w:b/>
        </w:rPr>
        <w:t>na</w:t>
      </w:r>
      <w:r w:rsidR="00D9447B" w:rsidRPr="00CE2DE3">
        <w:rPr>
          <w:rFonts w:cs="Arial"/>
          <w:b/>
        </w:rPr>
        <w:t> </w:t>
      </w:r>
      <w:r w:rsidRPr="00CE2DE3">
        <w:rPr>
          <w:rFonts w:cs="Arial"/>
          <w:b/>
        </w:rPr>
        <w:t>5,5 mld. Kč</w:t>
      </w:r>
      <w:r w:rsidRPr="00CE2DE3">
        <w:rPr>
          <w:rFonts w:cs="Arial"/>
        </w:rPr>
        <w:t xml:space="preserve"> a byly tak oproti skutečnosti srovnávaného období předchozího roku </w:t>
      </w:r>
      <w:r w:rsidRPr="00CE2DE3">
        <w:rPr>
          <w:rFonts w:cs="Arial"/>
          <w:b/>
        </w:rPr>
        <w:lastRenderedPageBreak/>
        <w:t>o 0,</w:t>
      </w:r>
      <w:r w:rsidR="004C18AA">
        <w:rPr>
          <w:rFonts w:cs="Arial"/>
          <w:b/>
        </w:rPr>
        <w:t>4</w:t>
      </w:r>
      <w:r w:rsidRPr="00CE2DE3">
        <w:rPr>
          <w:rFonts w:cs="Arial"/>
          <w:b/>
        </w:rPr>
        <w:t xml:space="preserve"> mld. Kč </w:t>
      </w:r>
      <w:r w:rsidRPr="00CE2DE3">
        <w:rPr>
          <w:rFonts w:cs="Arial"/>
        </w:rPr>
        <w:t>(</w:t>
      </w:r>
      <w:r w:rsidRPr="00CE2DE3">
        <w:rPr>
          <w:rFonts w:cs="Arial"/>
          <w:b/>
        </w:rPr>
        <w:t>o 7,5 %</w:t>
      </w:r>
      <w:r w:rsidRPr="00CE2DE3">
        <w:rPr>
          <w:rFonts w:cs="Arial"/>
        </w:rPr>
        <w:t>) nižší.</w:t>
      </w:r>
      <w:r w:rsidRPr="00CE2DE3">
        <w:rPr>
          <w:rFonts w:cs="Arial"/>
          <w:b/>
        </w:rPr>
        <w:t xml:space="preserve"> </w:t>
      </w:r>
      <w:r w:rsidRPr="00CE2DE3">
        <w:rPr>
          <w:rFonts w:cs="Arial"/>
        </w:rPr>
        <w:t>Meziročně se snížily ve všech krajích, kromě hl.</w:t>
      </w:r>
      <w:r w:rsidR="00D9447B" w:rsidRPr="00CE2DE3">
        <w:rPr>
          <w:rFonts w:cs="Arial"/>
        </w:rPr>
        <w:t> </w:t>
      </w:r>
      <w:r w:rsidRPr="00CE2DE3">
        <w:rPr>
          <w:rFonts w:cs="Arial"/>
        </w:rPr>
        <w:t>m.</w:t>
      </w:r>
      <w:r w:rsidR="00D9447B" w:rsidRPr="00CE2DE3">
        <w:rPr>
          <w:rFonts w:cs="Arial"/>
        </w:rPr>
        <w:t> </w:t>
      </w:r>
      <w:r w:rsidRPr="00CE2DE3">
        <w:rPr>
          <w:rFonts w:cs="Arial"/>
        </w:rPr>
        <w:t>Prahy, viz tabulku č. 19 v příloze.</w:t>
      </w:r>
    </w:p>
    <w:p w:rsidR="000F100F" w:rsidRPr="00CE2DE3" w:rsidRDefault="000F100F" w:rsidP="000F100F">
      <w:pPr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  <w:t>Na</w:t>
      </w:r>
      <w:r w:rsidRPr="00CE2DE3">
        <w:rPr>
          <w:rFonts w:cs="Arial"/>
          <w:b/>
          <w:bCs/>
        </w:rPr>
        <w:t xml:space="preserve"> doplatku na bydlení</w:t>
      </w:r>
      <w:r w:rsidRPr="00CE2DE3">
        <w:rPr>
          <w:rFonts w:cs="Arial"/>
          <w:b/>
        </w:rPr>
        <w:t>,</w:t>
      </w:r>
      <w:r w:rsidRPr="00CE2DE3">
        <w:rPr>
          <w:rFonts w:cs="Arial"/>
        </w:rPr>
        <w:t xml:space="preserve"> který představuje 29,4 % z úhrnu dávek pomoci v hmotné nouzi, bylo vyplaceno </w:t>
      </w:r>
      <w:r w:rsidRPr="00CE2DE3">
        <w:rPr>
          <w:rFonts w:cs="Arial"/>
          <w:b/>
        </w:rPr>
        <w:t>2,3 mld. Kč,</w:t>
      </w:r>
      <w:r w:rsidRPr="00CE2DE3">
        <w:rPr>
          <w:rFonts w:cs="Arial"/>
        </w:rPr>
        <w:t xml:space="preserve"> tj. </w:t>
      </w:r>
      <w:r w:rsidRPr="00CE2DE3">
        <w:rPr>
          <w:rFonts w:cs="Arial"/>
          <w:b/>
        </w:rPr>
        <w:t>o 0,1 mld. (o 2,8 %) méně</w:t>
      </w:r>
      <w:r w:rsidRPr="00CE2DE3">
        <w:rPr>
          <w:rFonts w:cs="Arial"/>
        </w:rPr>
        <w:t xml:space="preserve"> než ve stejném období loňského roku. U čerpání této dávky došlo ve hl. m. Praze (o 6</w:t>
      </w:r>
      <w:r w:rsidR="004C18AA">
        <w:rPr>
          <w:rFonts w:cs="Arial"/>
        </w:rPr>
        <w:t>,</w:t>
      </w:r>
      <w:r w:rsidRPr="00CE2DE3">
        <w:rPr>
          <w:rFonts w:cs="Arial"/>
        </w:rPr>
        <w:t>5 %), Moravskoslezském (o 1,7 %) a Jihomoravském kraji (o 0,2 %) k překročení skutečnosti předchozího roku, ve všech ostatních krajích došlo k poklesu, jak ukazuje tabulka č. 19 v příloze.</w:t>
      </w: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</w:r>
      <w:r w:rsidRPr="00CE2DE3">
        <w:rPr>
          <w:rFonts w:cs="Arial"/>
          <w:b/>
          <w:bCs/>
        </w:rPr>
        <w:t>Výdaje na</w:t>
      </w:r>
      <w:r w:rsidRPr="00CE2DE3">
        <w:rPr>
          <w:rFonts w:cs="Arial"/>
        </w:rPr>
        <w:t xml:space="preserve"> </w:t>
      </w:r>
      <w:r w:rsidRPr="00CE2DE3">
        <w:rPr>
          <w:rFonts w:cs="Arial"/>
          <w:b/>
        </w:rPr>
        <w:t>mimořádnou okamžitou pomoc</w:t>
      </w:r>
      <w:r w:rsidRPr="00CE2DE3">
        <w:rPr>
          <w:rFonts w:cs="Arial"/>
        </w:rPr>
        <w:t xml:space="preserve"> se proti srovnatelnému období </w:t>
      </w:r>
      <w:r w:rsidRPr="00CE2DE3">
        <w:rPr>
          <w:rFonts w:cs="Arial"/>
          <w:b/>
        </w:rPr>
        <w:t>snížily.</w:t>
      </w:r>
      <w:r w:rsidRPr="00CE2DE3">
        <w:rPr>
          <w:rFonts w:cs="Arial"/>
        </w:rPr>
        <w:t xml:space="preserve"> Bylo na nich vyplaceno </w:t>
      </w:r>
      <w:r w:rsidRPr="00CE2DE3">
        <w:rPr>
          <w:rFonts w:cs="Arial"/>
          <w:b/>
        </w:rPr>
        <w:t>105,5 mil. Kč,</w:t>
      </w:r>
      <w:r w:rsidRPr="00CE2DE3">
        <w:rPr>
          <w:rFonts w:cs="Arial"/>
        </w:rPr>
        <w:t xml:space="preserve"> tj. </w:t>
      </w:r>
      <w:r w:rsidRPr="00CE2DE3">
        <w:rPr>
          <w:rFonts w:cs="Arial"/>
          <w:b/>
        </w:rPr>
        <w:t>o 6,7 %</w:t>
      </w:r>
      <w:r w:rsidRPr="00CE2DE3">
        <w:rPr>
          <w:rFonts w:cs="Arial"/>
        </w:rPr>
        <w:t xml:space="preserve"> (o 7,6 mil. Kč) méně.</w:t>
      </w: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 xml:space="preserve"> </w:t>
      </w:r>
    </w:p>
    <w:p w:rsidR="000F100F" w:rsidRPr="00CE2DE3" w:rsidRDefault="000F100F" w:rsidP="000F100F">
      <w:pPr>
        <w:spacing w:line="360" w:lineRule="auto"/>
        <w:jc w:val="both"/>
        <w:rPr>
          <w:rFonts w:cs="Arial"/>
        </w:rPr>
      </w:pPr>
      <w:r w:rsidRPr="00CE2DE3">
        <w:rPr>
          <w:rFonts w:cs="Arial"/>
        </w:rPr>
        <w:tab/>
      </w:r>
      <w:r w:rsidRPr="00CE2DE3">
        <w:rPr>
          <w:rFonts w:cs="Arial"/>
          <w:b/>
          <w:u w:val="single"/>
        </w:rPr>
        <w:t>Dávky pro osoby se zdravotním postižením</w:t>
      </w:r>
      <w:r w:rsidRPr="00CE2DE3">
        <w:rPr>
          <w:rFonts w:cs="Arial"/>
        </w:rPr>
        <w:t xml:space="preserve"> se podílely na celkových sociálních příjmech pouze 0,4 %. Bylo na nich vyplaceno </w:t>
      </w:r>
      <w:r w:rsidRPr="00CE2DE3">
        <w:rPr>
          <w:rFonts w:cs="Arial"/>
          <w:b/>
        </w:rPr>
        <w:t>1,5 mld. Kč</w:t>
      </w:r>
      <w:r w:rsidRPr="00CE2DE3">
        <w:rPr>
          <w:rFonts w:cs="Arial"/>
        </w:rPr>
        <w:t xml:space="preserve"> (</w:t>
      </w:r>
      <w:r w:rsidRPr="00CE2DE3">
        <w:rPr>
          <w:rFonts w:cs="Arial"/>
          <w:b/>
        </w:rPr>
        <w:t xml:space="preserve">o 1,4 % více </w:t>
      </w:r>
      <w:r w:rsidRPr="00CE2DE3">
        <w:rPr>
          <w:rFonts w:cs="Arial"/>
        </w:rPr>
        <w:t>než od ledna do září 2014). V 1. – 3. čtvrtletí 2015 bylo vyplaceno 5,2 tis. příspěvků na zvláštní pomůcku v celkové výši 594,5 mil. Kč. Příspěvků na mobilitu bylo čerpáno v průměru měsíčně 238,5 tis. a bylo na ně vyplaceno za leden až září 2015 celkem 855,5 mil. Kč – viz tabulku č. 20 v příloze.</w:t>
      </w:r>
    </w:p>
    <w:p w:rsidR="00ED05E7" w:rsidRPr="00CE2DE3" w:rsidRDefault="00ED05E7" w:rsidP="000F100F">
      <w:pPr>
        <w:spacing w:line="360" w:lineRule="auto"/>
        <w:jc w:val="both"/>
        <w:rPr>
          <w:rFonts w:cs="Arial"/>
        </w:rPr>
      </w:pPr>
    </w:p>
    <w:p w:rsidR="00ED05E7" w:rsidRPr="00CE2DE3" w:rsidRDefault="00ED05E7" w:rsidP="000F100F">
      <w:pPr>
        <w:spacing w:line="360" w:lineRule="auto"/>
        <w:jc w:val="both"/>
        <w:rPr>
          <w:rFonts w:cs="Arial"/>
        </w:rPr>
      </w:pPr>
    </w:p>
    <w:p w:rsidR="00ED05E7" w:rsidRPr="00CE2DE3" w:rsidRDefault="00ED05E7" w:rsidP="000F100F">
      <w:pPr>
        <w:spacing w:line="360" w:lineRule="auto"/>
        <w:jc w:val="both"/>
        <w:rPr>
          <w:rFonts w:cs="Arial"/>
        </w:rPr>
      </w:pPr>
    </w:p>
    <w:p w:rsidR="00ED05E7" w:rsidRPr="00CE2DE3" w:rsidRDefault="00ED05E7" w:rsidP="000F100F">
      <w:pPr>
        <w:spacing w:line="360" w:lineRule="auto"/>
        <w:jc w:val="both"/>
        <w:rPr>
          <w:rFonts w:cs="Arial"/>
        </w:rPr>
      </w:pPr>
    </w:p>
    <w:p w:rsidR="00ED05E7" w:rsidRPr="00CE2DE3" w:rsidRDefault="00ED05E7" w:rsidP="000F100F">
      <w:pPr>
        <w:spacing w:line="360" w:lineRule="auto"/>
        <w:jc w:val="both"/>
        <w:rPr>
          <w:rFonts w:cs="Arial"/>
        </w:rPr>
      </w:pPr>
    </w:p>
    <w:p w:rsidR="00ED05E7" w:rsidRPr="00CE2DE3" w:rsidRDefault="00ED05E7" w:rsidP="000F100F">
      <w:pPr>
        <w:spacing w:line="360" w:lineRule="auto"/>
        <w:jc w:val="both"/>
        <w:rPr>
          <w:rFonts w:cs="Arial"/>
        </w:rPr>
      </w:pPr>
    </w:p>
    <w:p w:rsidR="00557044" w:rsidRPr="00CE2DE3" w:rsidRDefault="00557044" w:rsidP="000F100F">
      <w:pPr>
        <w:spacing w:line="360" w:lineRule="auto"/>
        <w:jc w:val="both"/>
        <w:rPr>
          <w:rFonts w:cs="Arial"/>
        </w:rPr>
      </w:pPr>
    </w:p>
    <w:p w:rsidR="00557044" w:rsidRPr="00CE2DE3" w:rsidRDefault="00557044" w:rsidP="000F100F">
      <w:pPr>
        <w:spacing w:line="360" w:lineRule="auto"/>
        <w:jc w:val="both"/>
        <w:rPr>
          <w:rFonts w:cs="Arial"/>
        </w:rPr>
      </w:pPr>
    </w:p>
    <w:p w:rsidR="00557044" w:rsidRPr="00CE2DE3" w:rsidRDefault="00557044" w:rsidP="000F100F">
      <w:pPr>
        <w:spacing w:line="360" w:lineRule="auto"/>
        <w:jc w:val="both"/>
        <w:rPr>
          <w:rFonts w:cs="Arial"/>
        </w:rPr>
      </w:pPr>
    </w:p>
    <w:p w:rsidR="00557044" w:rsidRDefault="00557044" w:rsidP="000F100F">
      <w:pPr>
        <w:spacing w:line="360" w:lineRule="auto"/>
        <w:jc w:val="both"/>
        <w:rPr>
          <w:rFonts w:cs="Arial"/>
        </w:rPr>
      </w:pPr>
    </w:p>
    <w:p w:rsidR="008B7C72" w:rsidRPr="00CE2DE3" w:rsidRDefault="008B7C72" w:rsidP="000F100F">
      <w:pPr>
        <w:spacing w:line="360" w:lineRule="auto"/>
        <w:jc w:val="both"/>
        <w:rPr>
          <w:rFonts w:cs="Arial"/>
        </w:rPr>
      </w:pPr>
    </w:p>
    <w:p w:rsidR="00557044" w:rsidRPr="00CE2DE3" w:rsidRDefault="00557044" w:rsidP="000F100F">
      <w:pPr>
        <w:spacing w:line="360" w:lineRule="auto"/>
        <w:jc w:val="both"/>
        <w:rPr>
          <w:rFonts w:cs="Arial"/>
        </w:rPr>
      </w:pPr>
    </w:p>
    <w:p w:rsidR="00557044" w:rsidRPr="00CE2DE3" w:rsidRDefault="00557044" w:rsidP="000F100F">
      <w:pPr>
        <w:spacing w:line="360" w:lineRule="auto"/>
        <w:jc w:val="both"/>
        <w:rPr>
          <w:rFonts w:cs="Arial"/>
        </w:rPr>
      </w:pPr>
    </w:p>
    <w:p w:rsidR="00993F10" w:rsidRPr="00CE2DE3" w:rsidRDefault="00993F10" w:rsidP="00993F10">
      <w:pPr>
        <w:rPr>
          <w:rFonts w:cs="Arial"/>
          <w:b/>
          <w:i/>
          <w:iCs/>
          <w:sz w:val="32"/>
          <w:szCs w:val="36"/>
        </w:rPr>
      </w:pPr>
      <w:r w:rsidRPr="00CE2DE3">
        <w:rPr>
          <w:rFonts w:cs="Arial"/>
          <w:b/>
          <w:iCs/>
          <w:sz w:val="36"/>
          <w:szCs w:val="36"/>
        </w:rPr>
        <w:lastRenderedPageBreak/>
        <w:t>2.</w:t>
      </w:r>
      <w:r w:rsidRPr="00CE2DE3">
        <w:rPr>
          <w:rFonts w:cs="Arial"/>
          <w:b/>
          <w:i/>
          <w:iCs/>
          <w:sz w:val="36"/>
          <w:szCs w:val="36"/>
        </w:rPr>
        <w:t xml:space="preserve"> </w:t>
      </w:r>
      <w:r w:rsidRPr="00CE2DE3">
        <w:rPr>
          <w:rFonts w:cs="Arial"/>
          <w:b/>
          <w:iCs/>
          <w:sz w:val="36"/>
          <w:szCs w:val="36"/>
        </w:rPr>
        <w:t>Spotřebitelské ceny a životní náklady</w:t>
      </w:r>
    </w:p>
    <w:p w:rsidR="00993F10" w:rsidRPr="00CE2DE3" w:rsidRDefault="00993F10" w:rsidP="00993F10">
      <w:pPr>
        <w:spacing w:line="360" w:lineRule="auto"/>
        <w:rPr>
          <w:rFonts w:cs="Arial"/>
          <w:b/>
          <w:szCs w:val="36"/>
        </w:rPr>
      </w:pPr>
    </w:p>
    <w:p w:rsidR="00993F10" w:rsidRPr="00CE2DE3" w:rsidRDefault="00993F10" w:rsidP="00993F10">
      <w:pPr>
        <w:spacing w:line="360" w:lineRule="auto"/>
        <w:rPr>
          <w:rFonts w:cs="Arial"/>
          <w:b/>
          <w:szCs w:val="36"/>
        </w:rPr>
      </w:pPr>
    </w:p>
    <w:p w:rsidR="00993F10" w:rsidRPr="00CE2DE3" w:rsidRDefault="00993F10" w:rsidP="00993F10">
      <w:pPr>
        <w:spacing w:line="360" w:lineRule="auto"/>
        <w:rPr>
          <w:rFonts w:cs="Arial"/>
          <w:b/>
          <w:szCs w:val="36"/>
        </w:rPr>
      </w:pPr>
    </w:p>
    <w:p w:rsidR="00993F10" w:rsidRPr="00CE2DE3" w:rsidRDefault="00993F10" w:rsidP="00993F10">
      <w:pPr>
        <w:spacing w:line="360" w:lineRule="auto"/>
        <w:jc w:val="both"/>
      </w:pPr>
      <w:r w:rsidRPr="00CE2DE3">
        <w:rPr>
          <w:rFonts w:cs="Arial"/>
          <w:b/>
          <w:szCs w:val="36"/>
        </w:rPr>
        <w:tab/>
        <w:t xml:space="preserve">Nárůst </w:t>
      </w:r>
      <w:r w:rsidRPr="00CE2DE3">
        <w:rPr>
          <w:b/>
          <w:bCs/>
        </w:rPr>
        <w:t>spotřebitelských cen</w:t>
      </w:r>
      <w:r w:rsidRPr="00CE2DE3">
        <w:t xml:space="preserve"> a životních nákladů </w:t>
      </w:r>
      <w:r w:rsidRPr="00CE2DE3">
        <w:rPr>
          <w:b/>
        </w:rPr>
        <w:t>byl</w:t>
      </w:r>
      <w:r w:rsidRPr="00CE2DE3">
        <w:t xml:space="preserve"> z pohledu domácností v lednu až září 2015 nadále příznivý, neboť meziročně činil pouze </w:t>
      </w:r>
      <w:r w:rsidRPr="00CE2DE3">
        <w:rPr>
          <w:b/>
        </w:rPr>
        <w:t>0,4 %</w:t>
      </w:r>
      <w:r w:rsidRPr="00CE2DE3">
        <w:rPr>
          <w:b/>
          <w:bCs/>
        </w:rPr>
        <w:t xml:space="preserve"> </w:t>
      </w:r>
      <w:r w:rsidRPr="00CE2DE3">
        <w:t>(ve stejném období roku 2014 však inflace stoupla jen o 0,3 %) – viz tabulku č. 21.</w:t>
      </w:r>
    </w:p>
    <w:p w:rsidR="00993F10" w:rsidRPr="00CE2DE3" w:rsidRDefault="00993F10" w:rsidP="00993F10">
      <w:pPr>
        <w:spacing w:line="360" w:lineRule="auto"/>
        <w:jc w:val="both"/>
      </w:pPr>
    </w:p>
    <w:p w:rsidR="00993F10" w:rsidRPr="00CE2DE3" w:rsidRDefault="00993F10" w:rsidP="00993F10">
      <w:pPr>
        <w:spacing w:line="360" w:lineRule="auto"/>
        <w:jc w:val="both"/>
        <w:rPr>
          <w:b/>
        </w:rPr>
      </w:pPr>
      <w:r w:rsidRPr="00CE2DE3">
        <w:tab/>
        <w:t xml:space="preserve">Mezičtvrtletní </w:t>
      </w:r>
      <w:r w:rsidRPr="00CE2DE3">
        <w:rPr>
          <w:b/>
        </w:rPr>
        <w:t xml:space="preserve">přírůstek </w:t>
      </w:r>
      <w:r w:rsidRPr="00CE2DE3">
        <w:t xml:space="preserve">spotřebitelských </w:t>
      </w:r>
      <w:r w:rsidRPr="00CE2DE3">
        <w:rPr>
          <w:b/>
          <w:bCs/>
        </w:rPr>
        <w:t xml:space="preserve">cen v jednotlivých čtvrtletích </w:t>
      </w:r>
      <w:r w:rsidRPr="00CE2DE3">
        <w:rPr>
          <w:bCs/>
        </w:rPr>
        <w:t>roku 2015</w:t>
      </w:r>
      <w:r w:rsidRPr="00CE2DE3">
        <w:rPr>
          <w:b/>
          <w:bCs/>
        </w:rPr>
        <w:t xml:space="preserve"> </w:t>
      </w:r>
      <w:r w:rsidRPr="00CE2DE3">
        <w:rPr>
          <w:bCs/>
        </w:rPr>
        <w:t>se vyvíjel nerovnoměrně, a to</w:t>
      </w:r>
      <w:r w:rsidRPr="00CE2DE3">
        <w:rPr>
          <w:b/>
          <w:bCs/>
        </w:rPr>
        <w:t xml:space="preserve"> zejména ve vazbě na výkyvy cen pohonných hmot a výživy, </w:t>
      </w:r>
      <w:r w:rsidRPr="00CE2DE3">
        <w:rPr>
          <w:bCs/>
        </w:rPr>
        <w:t xml:space="preserve">přičemž relativně </w:t>
      </w:r>
      <w:r w:rsidRPr="00CE2DE3">
        <w:rPr>
          <w:b/>
          <w:bCs/>
        </w:rPr>
        <w:t>nejvyšší</w:t>
      </w:r>
      <w:r w:rsidRPr="00CE2DE3">
        <w:rPr>
          <w:bCs/>
        </w:rPr>
        <w:t xml:space="preserve"> </w:t>
      </w:r>
      <w:r w:rsidRPr="00CE2DE3">
        <w:rPr>
          <w:b/>
          <w:bCs/>
        </w:rPr>
        <w:t>nárůst úhrnné inflace</w:t>
      </w:r>
      <w:r w:rsidRPr="00CE2DE3">
        <w:rPr>
          <w:bCs/>
        </w:rPr>
        <w:t xml:space="preserve"> (0,6 %) byl </w:t>
      </w:r>
      <w:r w:rsidRPr="00CE2DE3">
        <w:rPr>
          <w:b/>
          <w:bCs/>
        </w:rPr>
        <w:t xml:space="preserve">vykázán ve 2. čtvrtletí, kdy ceny benzínu a nafty </w:t>
      </w:r>
      <w:r w:rsidRPr="00CE2DE3">
        <w:rPr>
          <w:bCs/>
        </w:rPr>
        <w:t>po značném propadu v lednu – březnu náhle</w:t>
      </w:r>
      <w:r w:rsidRPr="00CE2DE3">
        <w:rPr>
          <w:b/>
          <w:bCs/>
        </w:rPr>
        <w:t xml:space="preserve"> vzrostly relativně vysokým tempem, </w:t>
      </w:r>
      <w:r w:rsidRPr="00CE2DE3">
        <w:rPr>
          <w:bCs/>
        </w:rPr>
        <w:t xml:space="preserve">aby </w:t>
      </w:r>
      <w:r w:rsidRPr="00CE2DE3">
        <w:rPr>
          <w:b/>
          <w:bCs/>
        </w:rPr>
        <w:t xml:space="preserve">začaly opět stagnovat a poté i klesat ve 3. čtvrtletí. </w:t>
      </w:r>
      <w:r w:rsidRPr="00CE2DE3">
        <w:rPr>
          <w:bCs/>
        </w:rPr>
        <w:t xml:space="preserve">Postupně </w:t>
      </w:r>
      <w:r w:rsidRPr="00CE2DE3">
        <w:rPr>
          <w:b/>
          <w:bCs/>
        </w:rPr>
        <w:t xml:space="preserve">klesající růst cen </w:t>
      </w:r>
      <w:r w:rsidRPr="00CE2DE3">
        <w:rPr>
          <w:bCs/>
        </w:rPr>
        <w:t xml:space="preserve">zaznamenaly </w:t>
      </w:r>
      <w:r w:rsidRPr="00CE2DE3">
        <w:rPr>
          <w:b/>
          <w:bCs/>
        </w:rPr>
        <w:t xml:space="preserve">potraviny, nealkoholické nápoje a bydlení, odívání, obuv a ostatní zboží a služby </w:t>
      </w:r>
      <w:r w:rsidRPr="00CE2DE3">
        <w:rPr>
          <w:bCs/>
        </w:rPr>
        <w:t>(finanční platby, pojištění apod.);</w:t>
      </w:r>
      <w:r w:rsidRPr="00CE2DE3">
        <w:rPr>
          <w:b/>
          <w:bCs/>
        </w:rPr>
        <w:t xml:space="preserve"> </w:t>
      </w:r>
      <w:r w:rsidRPr="00CE2DE3">
        <w:rPr>
          <w:b/>
        </w:rPr>
        <w:t>v letních měsících</w:t>
      </w:r>
      <w:r w:rsidRPr="00CE2DE3">
        <w:t xml:space="preserve"> tradičně </w:t>
      </w:r>
      <w:r w:rsidRPr="00CE2DE3">
        <w:rPr>
          <w:b/>
        </w:rPr>
        <w:t>podražily</w:t>
      </w:r>
      <w:r w:rsidRPr="00CE2DE3">
        <w:t xml:space="preserve"> sezónní </w:t>
      </w:r>
      <w:r w:rsidRPr="00CE2DE3">
        <w:rPr>
          <w:b/>
        </w:rPr>
        <w:t>rekreace, vzdělávání a stravování.</w:t>
      </w:r>
    </w:p>
    <w:p w:rsidR="00993F10" w:rsidRPr="00CE2DE3" w:rsidRDefault="00993F10" w:rsidP="00993F10">
      <w:pPr>
        <w:spacing w:line="360" w:lineRule="auto"/>
        <w:jc w:val="both"/>
        <w:rPr>
          <w:b/>
        </w:rPr>
      </w:pPr>
    </w:p>
    <w:p w:rsidR="00993F10" w:rsidRPr="00CE2DE3" w:rsidRDefault="00993F10" w:rsidP="00993F10">
      <w:pPr>
        <w:ind w:left="708"/>
        <w:jc w:val="both"/>
      </w:pPr>
      <w:r w:rsidRPr="00CE2DE3">
        <w:t xml:space="preserve">Meziročně vzrostly spotřebitelské ceny ve 3. čtvrtletí 2015 proti stejnému období roku 2014 o 0,4 %, tj. o 0,3 p. b. méně než ve 2. čtvrtletí. Na růst úhrnné cenové hladiny působilo v červenci – září v meziročním měřítku pouze zvýšení cen bydlení, vody, energie a paliv o 0,8 %, zatímco potraviny a nealkoholické nápoje zlevnily o 0,9 % (zejména </w:t>
      </w:r>
      <w:r w:rsidR="00292F9B" w:rsidRPr="00CE2DE3">
        <w:t>v důsledku</w:t>
      </w:r>
      <w:r w:rsidRPr="00CE2DE3">
        <w:t xml:space="preserve"> nižších cen v živočišné výrobě), vlivem nižších cen pohonných hmot zlevnila doprava </w:t>
      </w:r>
      <w:r w:rsidR="00292F9B" w:rsidRPr="00CE2DE3">
        <w:t xml:space="preserve">   </w:t>
      </w:r>
      <w:r w:rsidRPr="00CE2DE3">
        <w:t xml:space="preserve">   (-3,8 %). Ceny ostatních položek spotřebního koše většinou stagnovaly nebo klesly, přičemž se v úhrnu snižovaly tržní i regulované ceny.</w:t>
      </w:r>
    </w:p>
    <w:p w:rsidR="00993F10" w:rsidRPr="00CE2DE3" w:rsidRDefault="00993F10" w:rsidP="00993F10">
      <w:pPr>
        <w:spacing w:line="360" w:lineRule="auto"/>
        <w:jc w:val="both"/>
      </w:pPr>
    </w:p>
    <w:p w:rsidR="00993F10" w:rsidRPr="00CE2DE3" w:rsidRDefault="00993F10" w:rsidP="00993F10">
      <w:pPr>
        <w:spacing w:line="360" w:lineRule="auto"/>
        <w:jc w:val="both"/>
      </w:pPr>
    </w:p>
    <w:p w:rsidR="00993F10" w:rsidRPr="00CE2DE3" w:rsidRDefault="00993F10" w:rsidP="00993F10">
      <w:pPr>
        <w:spacing w:line="360" w:lineRule="auto"/>
        <w:jc w:val="both"/>
        <w:rPr>
          <w:bCs/>
        </w:rPr>
      </w:pPr>
      <w:r w:rsidRPr="00CE2DE3">
        <w:rPr>
          <w:b/>
          <w:bCs/>
        </w:rPr>
        <w:tab/>
      </w:r>
      <w:r w:rsidRPr="00CE2DE3">
        <w:rPr>
          <w:bCs/>
        </w:rPr>
        <w:t>Stejně jako před rokem lze i v lednu – září 2015 označit</w:t>
      </w:r>
      <w:r w:rsidRPr="00CE2DE3">
        <w:rPr>
          <w:b/>
          <w:bCs/>
        </w:rPr>
        <w:t xml:space="preserve"> vývoj životních nákladů domácností důchodců </w:t>
      </w:r>
      <w:r w:rsidRPr="00CE2DE3">
        <w:rPr>
          <w:bCs/>
        </w:rPr>
        <w:t>jako velmi</w:t>
      </w:r>
      <w:r w:rsidRPr="00CE2DE3">
        <w:rPr>
          <w:b/>
          <w:bCs/>
        </w:rPr>
        <w:t xml:space="preserve"> příznivý.</w:t>
      </w:r>
      <w:r w:rsidRPr="00CE2DE3">
        <w:rPr>
          <w:b/>
        </w:rPr>
        <w:t xml:space="preserve"> </w:t>
      </w:r>
      <w:r w:rsidRPr="00CE2DE3">
        <w:t>Meziročně</w:t>
      </w:r>
      <w:r w:rsidRPr="00CE2DE3">
        <w:rPr>
          <w:b/>
        </w:rPr>
        <w:t xml:space="preserve"> se zvýšily jen </w:t>
      </w:r>
      <w:r w:rsidRPr="00CE2DE3">
        <w:rPr>
          <w:b/>
          <w:bCs/>
        </w:rPr>
        <w:t>o 0,1 %.</w:t>
      </w:r>
      <w:r w:rsidRPr="00CE2DE3">
        <w:rPr>
          <w:bCs/>
        </w:rPr>
        <w:t xml:space="preserve"> Způsobila to </w:t>
      </w:r>
      <w:r w:rsidRPr="00CE2DE3">
        <w:rPr>
          <w:b/>
          <w:bCs/>
        </w:rPr>
        <w:t>souhra</w:t>
      </w:r>
      <w:r w:rsidRPr="00CE2DE3">
        <w:rPr>
          <w:bCs/>
        </w:rPr>
        <w:t xml:space="preserve"> </w:t>
      </w:r>
      <w:r w:rsidRPr="00CE2DE3">
        <w:rPr>
          <w:b/>
          <w:bCs/>
        </w:rPr>
        <w:t xml:space="preserve">příznivých tendencí ve vývoji </w:t>
      </w:r>
      <w:r w:rsidRPr="00CE2DE3">
        <w:rPr>
          <w:bCs/>
        </w:rPr>
        <w:t>nejvýznamnějších položek</w:t>
      </w:r>
      <w:r w:rsidRPr="00CE2DE3">
        <w:rPr>
          <w:b/>
          <w:bCs/>
        </w:rPr>
        <w:t xml:space="preserve"> jejich spotřebního koše </w:t>
      </w:r>
      <w:r w:rsidRPr="00CE2DE3">
        <w:rPr>
          <w:bCs/>
        </w:rPr>
        <w:t>(energie, levnější výživa a zdraví).</w:t>
      </w:r>
      <w:r w:rsidRPr="00CE2DE3">
        <w:rPr>
          <w:b/>
          <w:bCs/>
        </w:rPr>
        <w:t xml:space="preserve"> </w:t>
      </w:r>
      <w:r w:rsidRPr="00CE2DE3">
        <w:rPr>
          <w:bCs/>
        </w:rPr>
        <w:t>Tyto nižší náklady výrazně kompenzovaly vyšší dynamiku jejich vydání v jiných oblastech – zejména na finanční platby v rámci tzv. ostatního zboží a služeb (viz tabulku č. 22 v příloze).</w:t>
      </w:r>
    </w:p>
    <w:p w:rsidR="00993F10" w:rsidRPr="00CE2DE3" w:rsidRDefault="00993F10" w:rsidP="00993F10">
      <w:pPr>
        <w:spacing w:line="360" w:lineRule="auto"/>
        <w:jc w:val="both"/>
        <w:rPr>
          <w:bCs/>
        </w:rPr>
      </w:pPr>
    </w:p>
    <w:p w:rsidR="00993F10" w:rsidRPr="00CE2DE3" w:rsidRDefault="00993F10" w:rsidP="00993F10">
      <w:pPr>
        <w:spacing w:line="360" w:lineRule="auto"/>
        <w:jc w:val="both"/>
        <w:rPr>
          <w:bCs/>
        </w:rPr>
      </w:pPr>
      <w:r w:rsidRPr="00CE2DE3">
        <w:rPr>
          <w:bCs/>
        </w:rPr>
        <w:lastRenderedPageBreak/>
        <w:tab/>
        <w:t xml:space="preserve">Relativně nejvíce vzrostly </w:t>
      </w:r>
      <w:r w:rsidRPr="00CE2DE3">
        <w:rPr>
          <w:b/>
          <w:bCs/>
        </w:rPr>
        <w:t>životní náklady domácností žijících v hl. m. Praze</w:t>
      </w:r>
      <w:r w:rsidRPr="00CE2DE3">
        <w:rPr>
          <w:bCs/>
        </w:rPr>
        <w:t xml:space="preserve"> (index </w:t>
      </w:r>
      <w:r w:rsidRPr="00CE2DE3">
        <w:rPr>
          <w:b/>
          <w:bCs/>
        </w:rPr>
        <w:t>100,6 %</w:t>
      </w:r>
      <w:r w:rsidRPr="00CE2DE3">
        <w:rPr>
          <w:bCs/>
        </w:rPr>
        <w:t>), kde větší konkurence prodejců sice brzdila razantnější zdražení některých komodit určovaných trhem (s výjimkou výživy, odívání a obuvi), ale naopak nadprůměrně podražily v Praze veřejné stravování, ubytování, rekreace, finanční služby a pojistné; v rámci bydlení dosáhly ceny v Praze v úhrnu</w:t>
      </w:r>
      <w:r w:rsidRPr="00CE2DE3">
        <w:rPr>
          <w:b/>
          <w:bCs/>
        </w:rPr>
        <w:t xml:space="preserve"> </w:t>
      </w:r>
      <w:r w:rsidRPr="00CE2DE3">
        <w:rPr>
          <w:bCs/>
        </w:rPr>
        <w:t xml:space="preserve"> sice zhruba průměru, výrazně vyšší bylo však navýšení cen tepelné energie – blíže viz tabulku č. 22.</w:t>
      </w:r>
    </w:p>
    <w:p w:rsidR="00993F10" w:rsidRPr="00CE2DE3" w:rsidRDefault="00993F10" w:rsidP="00993F10">
      <w:pPr>
        <w:spacing w:line="360" w:lineRule="auto"/>
        <w:jc w:val="both"/>
        <w:rPr>
          <w:bCs/>
        </w:rPr>
      </w:pPr>
    </w:p>
    <w:p w:rsidR="00993F10" w:rsidRPr="00CE2DE3" w:rsidRDefault="00993F10" w:rsidP="00993F10">
      <w:pPr>
        <w:spacing w:line="360" w:lineRule="auto"/>
        <w:jc w:val="both"/>
        <w:rPr>
          <w:bCs/>
        </w:rPr>
      </w:pPr>
      <w:r w:rsidRPr="00CE2DE3">
        <w:rPr>
          <w:bCs/>
        </w:rPr>
        <w:tab/>
        <w:t>M</w:t>
      </w:r>
      <w:r w:rsidRPr="00CE2DE3">
        <w:t xml:space="preserve">eziroční </w:t>
      </w:r>
      <w:r w:rsidRPr="00CE2DE3">
        <w:rPr>
          <w:b/>
          <w:bCs/>
        </w:rPr>
        <w:t>harmonizovaný index</w:t>
      </w:r>
      <w:r w:rsidRPr="00CE2DE3">
        <w:t xml:space="preserve"> spotřebitelských </w:t>
      </w:r>
      <w:r w:rsidRPr="00CE2DE3">
        <w:rPr>
          <w:b/>
          <w:bCs/>
        </w:rPr>
        <w:t xml:space="preserve">cen </w:t>
      </w:r>
      <w:r w:rsidRPr="00CE2DE3">
        <w:t xml:space="preserve">(propočtený podle metodiky </w:t>
      </w:r>
      <w:proofErr w:type="spellStart"/>
      <w:r w:rsidRPr="00CE2DE3">
        <w:t>Eurostatu</w:t>
      </w:r>
      <w:proofErr w:type="spellEnd"/>
      <w:r w:rsidRPr="00CE2DE3">
        <w:t xml:space="preserve"> pro potřeby porovnání inflace v jednotlivých členských zemích) </w:t>
      </w:r>
      <w:r w:rsidRPr="00CE2DE3">
        <w:rPr>
          <w:b/>
        </w:rPr>
        <w:t xml:space="preserve">v  České republice </w:t>
      </w:r>
      <w:r w:rsidRPr="00CE2DE3">
        <w:rPr>
          <w:b/>
          <w:bCs/>
        </w:rPr>
        <w:t>činil v září 2015 0,2 %,</w:t>
      </w:r>
      <w:r w:rsidRPr="00CE2DE3">
        <w:t xml:space="preserve"> což bylo </w:t>
      </w:r>
      <w:r w:rsidRPr="00CE2DE3">
        <w:rPr>
          <w:b/>
          <w:bCs/>
        </w:rPr>
        <w:t xml:space="preserve">o 0,3 p. b. více než </w:t>
      </w:r>
      <w:r w:rsidRPr="00CE2DE3">
        <w:t xml:space="preserve">představoval </w:t>
      </w:r>
      <w:r w:rsidRPr="00CE2DE3">
        <w:rPr>
          <w:b/>
          <w:bCs/>
        </w:rPr>
        <w:t>průměr</w:t>
      </w:r>
      <w:r w:rsidRPr="00CE2DE3">
        <w:t xml:space="preserve"> 28 členských zemí </w:t>
      </w:r>
      <w:r w:rsidRPr="00CE2DE3">
        <w:rPr>
          <w:b/>
          <w:bCs/>
        </w:rPr>
        <w:t xml:space="preserve">EU. </w:t>
      </w:r>
      <w:r w:rsidRPr="00CE2DE3">
        <w:rPr>
          <w:bCs/>
        </w:rPr>
        <w:t>ČR se tak po mimořádně příznivém roce 2014 vrátila k dříve obvyklé praxi vyšších než průměrných cenových inflací v rámci evropského prostoru.</w:t>
      </w:r>
    </w:p>
    <w:p w:rsidR="0054220F" w:rsidRPr="00CE2DE3" w:rsidRDefault="0054220F" w:rsidP="00005478">
      <w:pPr>
        <w:spacing w:line="360" w:lineRule="auto"/>
        <w:jc w:val="both"/>
        <w:rPr>
          <w:bCs/>
        </w:rPr>
      </w:pPr>
    </w:p>
    <w:p w:rsidR="00462D7E" w:rsidRPr="00CE2DE3" w:rsidRDefault="00462D7E" w:rsidP="00005478">
      <w:pPr>
        <w:spacing w:line="360" w:lineRule="auto"/>
        <w:jc w:val="both"/>
        <w:rPr>
          <w:bCs/>
        </w:rPr>
      </w:pPr>
    </w:p>
    <w:p w:rsidR="00462D7E" w:rsidRPr="00CE2DE3" w:rsidRDefault="00462D7E" w:rsidP="00462D7E">
      <w:pPr>
        <w:ind w:left="708"/>
        <w:jc w:val="both"/>
      </w:pPr>
      <w:r w:rsidRPr="00CE2DE3">
        <w:rPr>
          <w:rFonts w:cs="Arial"/>
          <w:bCs/>
          <w:szCs w:val="28"/>
        </w:rPr>
        <w:t xml:space="preserve">Podle aktuálních dílčích dat ČSÚ z počátku ledna 2016 </w:t>
      </w:r>
      <w:r w:rsidRPr="00CE2DE3">
        <w:rPr>
          <w:rFonts w:cs="Arial"/>
          <w:b/>
          <w:bCs/>
          <w:szCs w:val="28"/>
        </w:rPr>
        <w:t xml:space="preserve">vzrostly spotřebitelské ceny v prosinci 2015 </w:t>
      </w:r>
      <w:r w:rsidRPr="00CE2DE3">
        <w:rPr>
          <w:rFonts w:cs="Arial"/>
          <w:bCs/>
          <w:szCs w:val="28"/>
        </w:rPr>
        <w:t>(proti prosinci 2014)</w:t>
      </w:r>
      <w:r w:rsidRPr="00CE2DE3">
        <w:rPr>
          <w:rFonts w:cs="Arial"/>
          <w:b/>
          <w:bCs/>
          <w:szCs w:val="28"/>
        </w:rPr>
        <w:t xml:space="preserve"> o 0,1, %. Největší vliv na </w:t>
      </w:r>
      <w:r w:rsidRPr="00CE2DE3">
        <w:rPr>
          <w:rFonts w:cs="Arial"/>
          <w:bCs/>
          <w:szCs w:val="28"/>
        </w:rPr>
        <w:t>tento extrémně nízký</w:t>
      </w:r>
      <w:r w:rsidRPr="00CE2DE3">
        <w:rPr>
          <w:rFonts w:cs="Arial"/>
          <w:b/>
          <w:bCs/>
          <w:szCs w:val="28"/>
        </w:rPr>
        <w:t xml:space="preserve"> nárůst</w:t>
      </w:r>
      <w:r w:rsidRPr="00CE2DE3">
        <w:rPr>
          <w:rFonts w:cs="Arial"/>
          <w:bCs/>
          <w:szCs w:val="28"/>
        </w:rPr>
        <w:t xml:space="preserve"> úhrnné cenové inflace </w:t>
      </w:r>
      <w:r w:rsidRPr="00CE2DE3">
        <w:rPr>
          <w:rFonts w:cs="Arial"/>
          <w:b/>
          <w:bCs/>
          <w:szCs w:val="28"/>
        </w:rPr>
        <w:t xml:space="preserve">měly </w:t>
      </w:r>
      <w:r w:rsidRPr="00CE2DE3">
        <w:rPr>
          <w:rFonts w:cs="Arial"/>
          <w:bCs/>
          <w:szCs w:val="28"/>
        </w:rPr>
        <w:t>výdajové skupiny s výraznými deflačními tendencemi, tj.</w:t>
      </w:r>
      <w:r w:rsidRPr="00CE2DE3">
        <w:rPr>
          <w:rFonts w:cs="Arial"/>
          <w:b/>
          <w:bCs/>
          <w:szCs w:val="28"/>
        </w:rPr>
        <w:t xml:space="preserve"> „potraviny a nealkoholické nápoje“ a „doprava“ </w:t>
      </w:r>
      <w:r w:rsidRPr="00CE2DE3">
        <w:rPr>
          <w:rFonts w:cs="Arial"/>
          <w:bCs/>
          <w:szCs w:val="28"/>
        </w:rPr>
        <w:t>(levnější hlavní komodity výživy a pohonných hmot).</w:t>
      </w:r>
    </w:p>
    <w:p w:rsidR="00462D7E" w:rsidRPr="00CE2DE3" w:rsidRDefault="00462D7E" w:rsidP="00462D7E">
      <w:pPr>
        <w:ind w:left="708"/>
        <w:jc w:val="both"/>
        <w:rPr>
          <w:bCs/>
        </w:rPr>
      </w:pPr>
    </w:p>
    <w:p w:rsidR="00993F10" w:rsidRPr="00CE2DE3" w:rsidRDefault="00462D7E" w:rsidP="00462D7E">
      <w:pPr>
        <w:ind w:left="708"/>
        <w:jc w:val="both"/>
        <w:rPr>
          <w:bCs/>
        </w:rPr>
      </w:pPr>
      <w:r w:rsidRPr="00CE2DE3">
        <w:rPr>
          <w:rFonts w:cs="Arial"/>
          <w:b/>
          <w:bCs/>
          <w:szCs w:val="28"/>
        </w:rPr>
        <w:t xml:space="preserve">Průměrná míra cenové inflace vyjádřená přírůstkem spotřebitelských cen v roce 2015 proti průměru roku 2014 dosáhla </w:t>
      </w:r>
      <w:r w:rsidRPr="00CE2DE3">
        <w:rPr>
          <w:rFonts w:cs="Arial"/>
          <w:bCs/>
          <w:szCs w:val="28"/>
        </w:rPr>
        <w:t xml:space="preserve">(víceméně v souladu s  odhadem MPSV) </w:t>
      </w:r>
      <w:r w:rsidRPr="00CE2DE3">
        <w:rPr>
          <w:rFonts w:cs="Arial"/>
          <w:b/>
          <w:bCs/>
          <w:szCs w:val="28"/>
        </w:rPr>
        <w:t>0,3 %</w:t>
      </w:r>
      <w:r w:rsidRPr="00CE2DE3">
        <w:rPr>
          <w:rFonts w:cs="Arial"/>
          <w:bCs/>
          <w:szCs w:val="28"/>
        </w:rPr>
        <w:t xml:space="preserve">, což představovalo nejnižší inflaci za posledních 12 let. </w:t>
      </w:r>
      <w:r w:rsidRPr="00CE2DE3">
        <w:rPr>
          <w:rFonts w:cs="Arial"/>
          <w:b/>
          <w:bCs/>
          <w:szCs w:val="28"/>
        </w:rPr>
        <w:t>Životní náklady</w:t>
      </w:r>
      <w:r w:rsidRPr="00CE2DE3">
        <w:rPr>
          <w:rFonts w:cs="Arial"/>
          <w:bCs/>
          <w:szCs w:val="28"/>
        </w:rPr>
        <w:t xml:space="preserve"> domácností </w:t>
      </w:r>
      <w:r w:rsidRPr="00CE2DE3">
        <w:rPr>
          <w:rFonts w:cs="Arial"/>
          <w:b/>
          <w:bCs/>
          <w:szCs w:val="28"/>
        </w:rPr>
        <w:t>důchodců se</w:t>
      </w:r>
      <w:r w:rsidRPr="00CE2DE3">
        <w:rPr>
          <w:rFonts w:cs="Arial"/>
          <w:bCs/>
          <w:szCs w:val="28"/>
        </w:rPr>
        <w:t xml:space="preserve"> meziročně </w:t>
      </w:r>
      <w:r w:rsidRPr="00CE2DE3">
        <w:rPr>
          <w:rFonts w:cs="Arial"/>
          <w:b/>
          <w:bCs/>
          <w:szCs w:val="28"/>
        </w:rPr>
        <w:t>zvýšily o 0,1 %.</w:t>
      </w:r>
    </w:p>
    <w:p w:rsidR="00993F10" w:rsidRPr="00CE2DE3" w:rsidRDefault="00993F10" w:rsidP="00462D7E">
      <w:pPr>
        <w:ind w:left="708"/>
        <w:jc w:val="both"/>
        <w:rPr>
          <w:bCs/>
        </w:rPr>
      </w:pPr>
    </w:p>
    <w:p w:rsidR="00993F10" w:rsidRPr="00CE2DE3" w:rsidRDefault="00462D7E" w:rsidP="00462D7E">
      <w:pPr>
        <w:ind w:left="708"/>
        <w:jc w:val="both"/>
        <w:rPr>
          <w:bCs/>
        </w:rPr>
      </w:pPr>
      <w:r w:rsidRPr="00CE2DE3">
        <w:rPr>
          <w:rFonts w:cs="Arial"/>
          <w:bCs/>
          <w:szCs w:val="28"/>
        </w:rPr>
        <w:t>Podrobnější rozbor cenové inflace bude proveden v dubnu t. r. v rámci komplexní analýzy příjmové a výdajové situace domácností za celý rok 2015.</w:t>
      </w:r>
    </w:p>
    <w:p w:rsidR="00993F10" w:rsidRPr="00CE2DE3" w:rsidRDefault="00993F10" w:rsidP="00005478">
      <w:pPr>
        <w:spacing w:line="360" w:lineRule="auto"/>
        <w:jc w:val="both"/>
        <w:rPr>
          <w:bCs/>
        </w:rPr>
      </w:pPr>
    </w:p>
    <w:p w:rsidR="00993F10" w:rsidRPr="00CE2DE3" w:rsidRDefault="00993F10" w:rsidP="00005478">
      <w:pPr>
        <w:spacing w:line="360" w:lineRule="auto"/>
        <w:jc w:val="both"/>
        <w:rPr>
          <w:bCs/>
        </w:rPr>
      </w:pPr>
    </w:p>
    <w:p w:rsidR="00993F10" w:rsidRPr="00CE2DE3" w:rsidRDefault="00993F10" w:rsidP="00005478">
      <w:pPr>
        <w:spacing w:line="360" w:lineRule="auto"/>
        <w:jc w:val="both"/>
        <w:rPr>
          <w:bCs/>
        </w:rPr>
      </w:pPr>
    </w:p>
    <w:p w:rsidR="00993F10" w:rsidRPr="00CE2DE3" w:rsidRDefault="00993F10" w:rsidP="00005478">
      <w:pPr>
        <w:spacing w:line="360" w:lineRule="auto"/>
        <w:jc w:val="both"/>
        <w:rPr>
          <w:bCs/>
        </w:rPr>
      </w:pPr>
    </w:p>
    <w:p w:rsidR="00993F10" w:rsidRPr="00CE2DE3" w:rsidRDefault="00993F10" w:rsidP="00005478">
      <w:pPr>
        <w:spacing w:line="360" w:lineRule="auto"/>
        <w:jc w:val="both"/>
        <w:rPr>
          <w:bCs/>
        </w:rPr>
      </w:pPr>
    </w:p>
    <w:p w:rsidR="00993F10" w:rsidRPr="00CE2DE3" w:rsidRDefault="00993F10" w:rsidP="00005478">
      <w:pPr>
        <w:spacing w:line="360" w:lineRule="auto"/>
        <w:jc w:val="both"/>
        <w:rPr>
          <w:bCs/>
        </w:rPr>
      </w:pPr>
    </w:p>
    <w:p w:rsidR="00993F10" w:rsidRPr="00CE2DE3" w:rsidRDefault="00993F10" w:rsidP="00005478">
      <w:pPr>
        <w:spacing w:line="360" w:lineRule="auto"/>
        <w:jc w:val="both"/>
        <w:rPr>
          <w:bCs/>
        </w:rPr>
      </w:pPr>
    </w:p>
    <w:p w:rsidR="00993F10" w:rsidRPr="00CE2DE3" w:rsidRDefault="00993F10" w:rsidP="00005478">
      <w:pPr>
        <w:spacing w:line="360" w:lineRule="auto"/>
        <w:jc w:val="both"/>
        <w:rPr>
          <w:bCs/>
        </w:rPr>
      </w:pPr>
    </w:p>
    <w:p w:rsidR="00993F10" w:rsidRPr="00CE2DE3" w:rsidRDefault="00993F10" w:rsidP="00005478">
      <w:pPr>
        <w:spacing w:line="360" w:lineRule="auto"/>
        <w:jc w:val="both"/>
        <w:rPr>
          <w:bCs/>
        </w:rPr>
      </w:pPr>
    </w:p>
    <w:p w:rsidR="00993F10" w:rsidRDefault="00993F10" w:rsidP="00993F10">
      <w:pPr>
        <w:spacing w:line="360" w:lineRule="auto"/>
        <w:jc w:val="both"/>
        <w:rPr>
          <w:b/>
          <w:bCs/>
          <w:sz w:val="36"/>
        </w:rPr>
      </w:pPr>
      <w:r w:rsidRPr="00CE2DE3">
        <w:rPr>
          <w:b/>
          <w:bCs/>
          <w:sz w:val="36"/>
        </w:rPr>
        <w:lastRenderedPageBreak/>
        <w:t>3. Peněžní výdaje, úvěry a úspory domácností</w:t>
      </w:r>
    </w:p>
    <w:p w:rsidR="00344E5D" w:rsidRPr="00CE2DE3" w:rsidRDefault="00344E5D" w:rsidP="00993F10">
      <w:pPr>
        <w:spacing w:line="360" w:lineRule="auto"/>
        <w:jc w:val="both"/>
        <w:rPr>
          <w:b/>
          <w:bCs/>
          <w:sz w:val="36"/>
        </w:rPr>
      </w:pPr>
    </w:p>
    <w:p w:rsidR="00643A5A" w:rsidRPr="00CE2DE3" w:rsidRDefault="00643A5A" w:rsidP="00643A5A">
      <w:pPr>
        <w:spacing w:line="276" w:lineRule="auto"/>
        <w:jc w:val="both"/>
      </w:pPr>
    </w:p>
    <w:p w:rsidR="00643A5A" w:rsidRDefault="00643A5A" w:rsidP="00643A5A">
      <w:pPr>
        <w:spacing w:line="360" w:lineRule="auto"/>
        <w:jc w:val="both"/>
      </w:pPr>
      <w:r w:rsidRPr="00CE2DE3">
        <w:tab/>
      </w:r>
      <w:r w:rsidRPr="00CE2DE3">
        <w:rPr>
          <w:b/>
        </w:rPr>
        <w:t>Výdaje na individuální spotřebu vykázaly vyšší meziroční vzestup než před rokem</w:t>
      </w:r>
      <w:r w:rsidR="00CE2DE3" w:rsidRPr="00CE2DE3">
        <w:rPr>
          <w:b/>
        </w:rPr>
        <w:t>;</w:t>
      </w:r>
      <w:r w:rsidRPr="00CE2DE3">
        <w:t xml:space="preserve"> </w:t>
      </w:r>
      <w:r w:rsidR="00CE2DE3" w:rsidRPr="00CE2DE3">
        <w:t>j</w:t>
      </w:r>
      <w:r w:rsidRPr="00CE2DE3">
        <w:t xml:space="preserve">ejich podíl na přírůstku HDP představoval nadále jednu třetinu. V meziročním srovnání vzrostly – zejména </w:t>
      </w:r>
      <w:r w:rsidRPr="00CE2DE3">
        <w:rPr>
          <w:b/>
        </w:rPr>
        <w:t xml:space="preserve">vlivem vyšších vyplacených náhrad zaměstnancům </w:t>
      </w:r>
      <w:r w:rsidRPr="00CE2DE3">
        <w:t xml:space="preserve">(+4,6 %), tj. hlavně mezd a platů – jak </w:t>
      </w:r>
      <w:r w:rsidRPr="00CE2DE3">
        <w:rPr>
          <w:b/>
        </w:rPr>
        <w:t>výdaje investiční povahy</w:t>
      </w:r>
      <w:r w:rsidRPr="00CE2DE3">
        <w:t xml:space="preserve"> (nákupy nemovitostí, automobilů apod.), tak i </w:t>
      </w:r>
      <w:r w:rsidRPr="00CE2DE3">
        <w:rPr>
          <w:b/>
        </w:rPr>
        <w:t>zboží a služeb střednědobého a krátkodobého charakteru.</w:t>
      </w:r>
      <w:r w:rsidRPr="00CE2DE3">
        <w:t xml:space="preserve"> Podstatnou část peněžních zdrojů domácnosti znovu odkládaly ve formě úspor.</w:t>
      </w:r>
    </w:p>
    <w:p w:rsidR="00344E5D" w:rsidRDefault="00344E5D" w:rsidP="00643A5A">
      <w:pPr>
        <w:spacing w:line="360" w:lineRule="auto"/>
        <w:jc w:val="both"/>
      </w:pPr>
    </w:p>
    <w:p w:rsidR="00344E5D" w:rsidRPr="00CE2DE3" w:rsidRDefault="00344E5D" w:rsidP="00643A5A">
      <w:pPr>
        <w:spacing w:line="360" w:lineRule="auto"/>
        <w:jc w:val="both"/>
      </w:pPr>
    </w:p>
    <w:p w:rsidR="008B7C72" w:rsidRDefault="00643A5A" w:rsidP="008B7C72">
      <w:pPr>
        <w:spacing w:after="240" w:line="360" w:lineRule="auto"/>
        <w:jc w:val="both"/>
        <w:rPr>
          <w:b/>
        </w:rPr>
      </w:pPr>
      <w:r w:rsidRPr="00CE2DE3">
        <w:tab/>
        <w:t xml:space="preserve">Projevily se zejména tyto </w:t>
      </w:r>
      <w:r w:rsidRPr="00CE2DE3">
        <w:rPr>
          <w:b/>
        </w:rPr>
        <w:t>základní tendence:</w:t>
      </w:r>
    </w:p>
    <w:p w:rsidR="00643A5A" w:rsidRPr="00CE2DE3" w:rsidRDefault="00643A5A" w:rsidP="008B7C72">
      <w:pPr>
        <w:spacing w:after="240" w:line="360" w:lineRule="auto"/>
        <w:jc w:val="both"/>
        <w:rPr>
          <w:rFonts w:cs="Arial"/>
        </w:rPr>
      </w:pPr>
      <w:r w:rsidRPr="00CE2DE3">
        <w:rPr>
          <w:b/>
        </w:rPr>
        <w:t>domácnosti vynaložily 1 555,5 m</w:t>
      </w:r>
      <w:r w:rsidRPr="00CE2DE3">
        <w:rPr>
          <w:b/>
          <w:bCs/>
        </w:rPr>
        <w:t xml:space="preserve">ld. Kč na výdaje spojené s individuální spotřebou </w:t>
      </w:r>
      <w:r w:rsidRPr="00CE2DE3">
        <w:rPr>
          <w:bCs/>
        </w:rPr>
        <w:t>(</w:t>
      </w:r>
      <w:r w:rsidRPr="00CE2DE3">
        <w:t>bylo to o 3,0 % více než o rok dříve)</w:t>
      </w:r>
      <w:r w:rsidRPr="00CE2DE3">
        <w:rPr>
          <w:bCs/>
        </w:rPr>
        <w:t>;</w:t>
      </w:r>
      <w:r w:rsidRPr="00CE2DE3">
        <w:t xml:space="preserve"> </w:t>
      </w:r>
      <w:r w:rsidRPr="00CE2DE3">
        <w:rPr>
          <w:b/>
        </w:rPr>
        <w:t>celkem</w:t>
      </w:r>
      <w:r w:rsidRPr="00CE2DE3">
        <w:t xml:space="preserve"> tak – po zohlednění cenové inflace – </w:t>
      </w:r>
      <w:r w:rsidRPr="00CE2DE3">
        <w:rPr>
          <w:b/>
        </w:rPr>
        <w:t>nakoupily zboží a služeb</w:t>
      </w:r>
      <w:r w:rsidRPr="00CE2DE3">
        <w:t xml:space="preserve"> o 39,6 mld. Kč </w:t>
      </w:r>
      <w:r w:rsidRPr="00CE2DE3">
        <w:rPr>
          <w:b/>
        </w:rPr>
        <w:t>více</w:t>
      </w:r>
      <w:r w:rsidRPr="00CE2DE3">
        <w:t xml:space="preserve"> než před rokem (viz tabulku č. 1 v příloze),</w:t>
      </w:r>
    </w:p>
    <w:p w:rsidR="00643A5A" w:rsidRPr="00CE2DE3" w:rsidRDefault="00643A5A" w:rsidP="00344E5D">
      <w:pPr>
        <w:pStyle w:val="Odstavecseseznamem"/>
        <w:numPr>
          <w:ilvl w:val="0"/>
          <w:numId w:val="28"/>
        </w:numPr>
        <w:spacing w:after="240" w:line="360" w:lineRule="auto"/>
        <w:ind w:left="714" w:hanging="357"/>
        <w:jc w:val="both"/>
        <w:rPr>
          <w:rFonts w:cs="Arial"/>
        </w:rPr>
      </w:pPr>
      <w:r w:rsidRPr="00CE2DE3">
        <w:rPr>
          <w:b/>
          <w:bCs/>
        </w:rPr>
        <w:t>výdaje jednoho člena domácnosti</w:t>
      </w:r>
      <w:r w:rsidRPr="00CE2DE3">
        <w:t xml:space="preserve"> souboru rodinných účtů (stejně jako u příjmů bez vlivu koupě nemovitostí) </w:t>
      </w:r>
      <w:r w:rsidRPr="00CE2DE3">
        <w:rPr>
          <w:b/>
        </w:rPr>
        <w:t xml:space="preserve">činily </w:t>
      </w:r>
      <w:r w:rsidRPr="00CE2DE3">
        <w:t xml:space="preserve">měsíčně v průměru </w:t>
      </w:r>
      <w:r w:rsidRPr="00CE2DE3">
        <w:rPr>
          <w:b/>
        </w:rPr>
        <w:t>10 712</w:t>
      </w:r>
      <w:r w:rsidRPr="00CE2DE3">
        <w:rPr>
          <w:b/>
          <w:bCs/>
        </w:rPr>
        <w:t> Kč</w:t>
      </w:r>
      <w:r w:rsidRPr="00CE2DE3">
        <w:t>, tj. </w:t>
      </w:r>
      <w:r w:rsidRPr="00CE2DE3">
        <w:rPr>
          <w:bCs/>
        </w:rPr>
        <w:t>nominálně</w:t>
      </w:r>
      <w:r w:rsidRPr="00CE2DE3">
        <w:rPr>
          <w:b/>
          <w:bCs/>
        </w:rPr>
        <w:t xml:space="preserve"> o 0,5 % více než</w:t>
      </w:r>
      <w:r w:rsidRPr="00CE2DE3">
        <w:rPr>
          <w:bCs/>
        </w:rPr>
        <w:t xml:space="preserve"> v 1. – 3. čtvrtletí  2014; nejrychleji rostly výdaje bezdětných domácností zaměstnanců (+3,8 %),</w:t>
      </w:r>
    </w:p>
    <w:p w:rsidR="00643A5A" w:rsidRPr="00CE2DE3" w:rsidRDefault="00643A5A" w:rsidP="00344E5D">
      <w:pPr>
        <w:pStyle w:val="Odstavecseseznamem"/>
        <w:numPr>
          <w:ilvl w:val="0"/>
          <w:numId w:val="28"/>
        </w:numPr>
        <w:spacing w:after="240" w:line="360" w:lineRule="auto"/>
        <w:ind w:left="714" w:hanging="357"/>
        <w:jc w:val="both"/>
        <w:rPr>
          <w:rFonts w:cs="Arial"/>
        </w:rPr>
      </w:pPr>
      <w:r w:rsidRPr="00CE2DE3">
        <w:t xml:space="preserve">meziroční </w:t>
      </w:r>
      <w:r w:rsidRPr="00CE2DE3">
        <w:rPr>
          <w:b/>
        </w:rPr>
        <w:t xml:space="preserve">dynamika </w:t>
      </w:r>
      <w:r w:rsidRPr="00CE2DE3">
        <w:t xml:space="preserve">čistých peněžních </w:t>
      </w:r>
      <w:r w:rsidRPr="00CE2DE3">
        <w:rPr>
          <w:b/>
        </w:rPr>
        <w:t>příjmů průměrné domácnosti</w:t>
      </w:r>
      <w:r w:rsidRPr="00CE2DE3">
        <w:t xml:space="preserve"> statistiky rodinných účtů (index 102,1 %) znovu </w:t>
      </w:r>
      <w:r w:rsidRPr="00CE2DE3">
        <w:rPr>
          <w:b/>
        </w:rPr>
        <w:t xml:space="preserve">předčila dynamiku peněžních výdajů, a to </w:t>
      </w:r>
      <w:r w:rsidRPr="00CE2DE3">
        <w:t>o 1,6 p. b., což platilo i pro jednotlivé typy domácností zaměstnanců; výjimky tvořily OSVČ, které i přes pokles svých příjmů zvýšily spotřební výdaje a domácnosti důchodců, které naopak více šetřily (podrobněji za jednotlivé skupiny domácností viz tabulku č. 2 v příloze),</w:t>
      </w:r>
    </w:p>
    <w:p w:rsidR="00643A5A" w:rsidRPr="00CE2DE3" w:rsidRDefault="00643A5A" w:rsidP="00643A5A">
      <w:pPr>
        <w:pStyle w:val="Odstavecseseznamem"/>
        <w:numPr>
          <w:ilvl w:val="0"/>
          <w:numId w:val="28"/>
        </w:numPr>
        <w:spacing w:after="240" w:line="360" w:lineRule="auto"/>
        <w:ind w:left="714" w:hanging="357"/>
        <w:jc w:val="both"/>
        <w:rPr>
          <w:rFonts w:cs="Arial"/>
        </w:rPr>
      </w:pPr>
      <w:r w:rsidRPr="00CE2DE3">
        <w:rPr>
          <w:rFonts w:cs="Arial"/>
          <w:b/>
          <w:bCs/>
          <w:szCs w:val="24"/>
        </w:rPr>
        <w:t xml:space="preserve">strukturu </w:t>
      </w:r>
      <w:r w:rsidRPr="00CE2DE3">
        <w:rPr>
          <w:rFonts w:cs="Arial"/>
          <w:szCs w:val="24"/>
        </w:rPr>
        <w:t>úhrnných</w:t>
      </w:r>
      <w:r w:rsidRPr="00CE2DE3">
        <w:rPr>
          <w:rFonts w:cs="Arial"/>
          <w:b/>
          <w:bCs/>
          <w:szCs w:val="24"/>
        </w:rPr>
        <w:t xml:space="preserve"> spotřebních vydání</w:t>
      </w:r>
      <w:r w:rsidRPr="00CE2DE3">
        <w:rPr>
          <w:rFonts w:cs="Arial"/>
          <w:bCs/>
          <w:szCs w:val="24"/>
        </w:rPr>
        <w:t xml:space="preserve"> domácností</w:t>
      </w:r>
      <w:r w:rsidRPr="00CE2DE3">
        <w:rPr>
          <w:rFonts w:cs="Arial"/>
          <w:b/>
          <w:bCs/>
          <w:szCs w:val="24"/>
        </w:rPr>
        <w:t xml:space="preserve"> </w:t>
      </w:r>
      <w:r w:rsidRPr="00CE2DE3">
        <w:rPr>
          <w:rFonts w:cs="Arial"/>
          <w:bCs/>
          <w:szCs w:val="24"/>
        </w:rPr>
        <w:t xml:space="preserve">charakterizuje tabulka č. 23 v příloze – u všech nebo u větší části domácností došlo </w:t>
      </w:r>
      <w:r w:rsidRPr="00CE2DE3">
        <w:rPr>
          <w:rFonts w:cs="Arial"/>
          <w:b/>
          <w:bCs/>
          <w:szCs w:val="24"/>
        </w:rPr>
        <w:t xml:space="preserve">k poklesu váhy </w:t>
      </w:r>
      <w:r w:rsidRPr="00CE2DE3">
        <w:rPr>
          <w:rFonts w:cs="Arial"/>
          <w:bCs/>
          <w:szCs w:val="24"/>
        </w:rPr>
        <w:t xml:space="preserve">cenově relativně výhodných </w:t>
      </w:r>
      <w:r w:rsidRPr="00CE2DE3">
        <w:rPr>
          <w:rFonts w:cs="Arial"/>
          <w:b/>
          <w:bCs/>
          <w:szCs w:val="24"/>
        </w:rPr>
        <w:t xml:space="preserve">výdajů za bydlení a potraviny a nealkoholické </w:t>
      </w:r>
      <w:r w:rsidRPr="00CE2DE3">
        <w:rPr>
          <w:rFonts w:cs="Arial"/>
          <w:b/>
          <w:bCs/>
          <w:szCs w:val="24"/>
        </w:rPr>
        <w:lastRenderedPageBreak/>
        <w:t xml:space="preserve">nápoje, nárůst </w:t>
      </w:r>
      <w:r w:rsidRPr="00CE2DE3">
        <w:rPr>
          <w:rFonts w:cs="Arial"/>
          <w:bCs/>
          <w:szCs w:val="24"/>
        </w:rPr>
        <w:t>podílu výdajů</w:t>
      </w:r>
      <w:r w:rsidRPr="00CE2DE3">
        <w:rPr>
          <w:rFonts w:cs="Arial"/>
          <w:b/>
          <w:bCs/>
          <w:szCs w:val="24"/>
        </w:rPr>
        <w:t xml:space="preserve"> se projevil u všech typů domácností u veřejného stravování a ubytování a u </w:t>
      </w:r>
      <w:r w:rsidRPr="00CE2DE3">
        <w:rPr>
          <w:rFonts w:cs="Arial"/>
          <w:bCs/>
          <w:szCs w:val="24"/>
        </w:rPr>
        <w:t>většího počtu skupin</w:t>
      </w:r>
      <w:r w:rsidRPr="00CE2DE3">
        <w:rPr>
          <w:rFonts w:cs="Arial"/>
          <w:b/>
          <w:bCs/>
          <w:szCs w:val="24"/>
        </w:rPr>
        <w:t xml:space="preserve"> domácností ve výdajích za</w:t>
      </w:r>
      <w:r w:rsidRPr="00CE2DE3">
        <w:rPr>
          <w:rFonts w:cs="Arial"/>
          <w:bCs/>
          <w:szCs w:val="24"/>
        </w:rPr>
        <w:t xml:space="preserve"> </w:t>
      </w:r>
      <w:r w:rsidRPr="00CE2DE3">
        <w:rPr>
          <w:rFonts w:cs="Arial"/>
          <w:b/>
          <w:bCs/>
          <w:szCs w:val="24"/>
        </w:rPr>
        <w:t xml:space="preserve">dopravu, bytové vybavení, odívání a obuv; </w:t>
      </w:r>
      <w:r w:rsidRPr="00CE2DE3">
        <w:rPr>
          <w:rFonts w:cs="Arial"/>
          <w:bCs/>
          <w:szCs w:val="24"/>
        </w:rPr>
        <w:t xml:space="preserve">zejména s ohledem na příznivý cenový vývoj pokračoval trend </w:t>
      </w:r>
      <w:r w:rsidR="007C7064">
        <w:rPr>
          <w:rFonts w:cs="Arial"/>
          <w:bCs/>
          <w:szCs w:val="24"/>
        </w:rPr>
        <w:t xml:space="preserve">rychlejšího poklesu </w:t>
      </w:r>
      <w:r w:rsidRPr="00CE2DE3">
        <w:rPr>
          <w:rFonts w:cs="Arial"/>
          <w:bCs/>
          <w:szCs w:val="24"/>
        </w:rPr>
        <w:t xml:space="preserve">podílu </w:t>
      </w:r>
      <w:r w:rsidR="007C7064">
        <w:rPr>
          <w:rFonts w:cs="Arial"/>
          <w:bCs/>
          <w:szCs w:val="24"/>
        </w:rPr>
        <w:t>výdajů na bydlení</w:t>
      </w:r>
      <w:r w:rsidRPr="00CE2DE3">
        <w:rPr>
          <w:rFonts w:cs="Arial"/>
          <w:bCs/>
          <w:szCs w:val="24"/>
        </w:rPr>
        <w:t xml:space="preserve"> ve struktuře spotřebních vydán</w:t>
      </w:r>
      <w:r w:rsidR="008B7C72">
        <w:rPr>
          <w:rFonts w:cs="Arial"/>
          <w:bCs/>
          <w:szCs w:val="24"/>
        </w:rPr>
        <w:t>í</w:t>
      </w:r>
      <w:r w:rsidR="007C7064">
        <w:rPr>
          <w:rFonts w:cs="Arial"/>
          <w:bCs/>
          <w:szCs w:val="24"/>
        </w:rPr>
        <w:t xml:space="preserve"> oproti výdajům na výživu</w:t>
      </w:r>
      <w:r w:rsidRPr="00CE2DE3">
        <w:rPr>
          <w:rFonts w:cs="Arial"/>
          <w:bCs/>
          <w:szCs w:val="24"/>
        </w:rPr>
        <w:t>.</w:t>
      </w:r>
    </w:p>
    <w:p w:rsidR="00344E5D" w:rsidRDefault="00344E5D" w:rsidP="00643A5A">
      <w:pPr>
        <w:spacing w:after="120" w:line="360" w:lineRule="auto"/>
        <w:jc w:val="both"/>
      </w:pPr>
    </w:p>
    <w:p w:rsidR="00344E5D" w:rsidRDefault="00344E5D" w:rsidP="00643A5A">
      <w:pPr>
        <w:spacing w:after="120" w:line="360" w:lineRule="auto"/>
        <w:jc w:val="both"/>
      </w:pPr>
      <w:bookmarkStart w:id="0" w:name="_GoBack"/>
      <w:bookmarkEnd w:id="0"/>
    </w:p>
    <w:p w:rsidR="00643A5A" w:rsidRPr="00CE2DE3" w:rsidRDefault="00643A5A" w:rsidP="00643A5A">
      <w:pPr>
        <w:spacing w:after="120" w:line="360" w:lineRule="auto"/>
        <w:jc w:val="both"/>
        <w:rPr>
          <w:b/>
          <w:bCs/>
        </w:rPr>
      </w:pPr>
      <w:r w:rsidRPr="00CE2DE3">
        <w:tab/>
        <w:t>Úvěry domácnostem mírně zrychlily svou dynamiku a</w:t>
      </w:r>
      <w:r w:rsidRPr="00CE2DE3">
        <w:rPr>
          <w:b/>
          <w:bCs/>
        </w:rPr>
        <w:t xml:space="preserve"> </w:t>
      </w:r>
      <w:r w:rsidRPr="00CE2DE3">
        <w:t xml:space="preserve">podle údajů ČNB činil </w:t>
      </w:r>
      <w:r w:rsidRPr="00CE2DE3">
        <w:rPr>
          <w:b/>
          <w:bCs/>
        </w:rPr>
        <w:t xml:space="preserve">úhrnný objem půjček domácností </w:t>
      </w:r>
      <w:r w:rsidRPr="00CE2DE3">
        <w:t xml:space="preserve">k 30. září 2015 celkem </w:t>
      </w:r>
      <w:r w:rsidRPr="00CE2DE3">
        <w:rPr>
          <w:b/>
        </w:rPr>
        <w:t>1 300,2 </w:t>
      </w:r>
      <w:r w:rsidRPr="00CE2DE3">
        <w:rPr>
          <w:b/>
          <w:bCs/>
        </w:rPr>
        <w:t>mld. Kč,</w:t>
      </w:r>
      <w:r w:rsidRPr="00CE2DE3">
        <w:t xml:space="preserve"> </w:t>
      </w:r>
      <w:r w:rsidRPr="00CE2DE3">
        <w:rPr>
          <w:bCs/>
        </w:rPr>
        <w:t>což bylo</w:t>
      </w:r>
      <w:r w:rsidRPr="00CE2DE3">
        <w:t xml:space="preserve"> </w:t>
      </w:r>
      <w:r w:rsidRPr="00CE2DE3">
        <w:rPr>
          <w:b/>
          <w:bCs/>
        </w:rPr>
        <w:t>o 85,3 mld. Kč více než</w:t>
      </w:r>
      <w:r w:rsidRPr="00CE2DE3">
        <w:rPr>
          <w:bCs/>
        </w:rPr>
        <w:t xml:space="preserve"> </w:t>
      </w:r>
      <w:r w:rsidRPr="00CE2DE3">
        <w:rPr>
          <w:b/>
          <w:bCs/>
        </w:rPr>
        <w:t>ke stejnému datu roku 2014.</w:t>
      </w:r>
      <w:r w:rsidRPr="00CE2DE3">
        <w:rPr>
          <w:bCs/>
        </w:rPr>
        <w:t xml:space="preserve"> </w:t>
      </w:r>
      <w:proofErr w:type="spellStart"/>
      <w:r w:rsidRPr="00CE2DE3">
        <w:rPr>
          <w:bCs/>
        </w:rPr>
        <w:t>Mezičtvrtletně</w:t>
      </w:r>
      <w:proofErr w:type="spellEnd"/>
      <w:r w:rsidRPr="00CE2DE3">
        <w:rPr>
          <w:bCs/>
        </w:rPr>
        <w:t xml:space="preserve"> vzrostly úvěry domácností o 21,6 mld. Kč, což bylo méně než mezi 1. a 2. čtvrtletím roku 2015, kdy došlo k nárůstu o 39,8 mld. Kč (data za vklady a úvěry jsou uvedena v tabulce č. 24):</w:t>
      </w:r>
    </w:p>
    <w:p w:rsidR="00643A5A" w:rsidRPr="00CE2DE3" w:rsidRDefault="00643A5A" w:rsidP="00344E5D">
      <w:pPr>
        <w:numPr>
          <w:ilvl w:val="0"/>
          <w:numId w:val="23"/>
        </w:numPr>
        <w:spacing w:after="240" w:line="360" w:lineRule="auto"/>
        <w:jc w:val="both"/>
        <w:rPr>
          <w:b/>
          <w:bCs/>
        </w:rPr>
      </w:pPr>
      <w:r w:rsidRPr="00CE2DE3">
        <w:rPr>
          <w:b/>
          <w:bCs/>
        </w:rPr>
        <w:t>rozhodující část</w:t>
      </w:r>
      <w:r w:rsidRPr="00CE2DE3">
        <w:t xml:space="preserve"> meziročního </w:t>
      </w:r>
      <w:r w:rsidRPr="00CE2DE3">
        <w:rPr>
          <w:b/>
          <w:bCs/>
        </w:rPr>
        <w:t xml:space="preserve">vzestupu objemu </w:t>
      </w:r>
      <w:r w:rsidRPr="00CE2DE3">
        <w:t xml:space="preserve">bankovních peněžních </w:t>
      </w:r>
      <w:r w:rsidRPr="00CE2DE3">
        <w:rPr>
          <w:b/>
          <w:bCs/>
        </w:rPr>
        <w:t>půjček</w:t>
      </w:r>
      <w:r w:rsidRPr="00CE2DE3">
        <w:t xml:space="preserve"> </w:t>
      </w:r>
      <w:r w:rsidRPr="00CE2DE3">
        <w:rPr>
          <w:b/>
          <w:bCs/>
        </w:rPr>
        <w:t>představovaly úvěry spojené s bydlením</w:t>
      </w:r>
      <w:r w:rsidRPr="00CE2DE3">
        <w:rPr>
          <w:b/>
        </w:rPr>
        <w:t>.</w:t>
      </w:r>
      <w:r w:rsidRPr="00CE2DE3">
        <w:rPr>
          <w:b/>
          <w:bCs/>
        </w:rPr>
        <w:t xml:space="preserve"> </w:t>
      </w:r>
      <w:r w:rsidRPr="00CE2DE3">
        <w:t>Domácnosti, i přes rostoucí ceny na trhu realit, stále využívaly velmi nízkých úrokových sazeb hypotečních úvěrů a</w:t>
      </w:r>
      <w:r w:rsidRPr="00CE2DE3">
        <w:rPr>
          <w:b/>
        </w:rPr>
        <w:t xml:space="preserve"> celkový objem úvěrů na bydlení dosáhl</w:t>
      </w:r>
      <w:r w:rsidRPr="00CE2DE3">
        <w:t xml:space="preserve"> </w:t>
      </w:r>
      <w:r w:rsidRPr="00CE2DE3">
        <w:rPr>
          <w:b/>
          <w:bCs/>
        </w:rPr>
        <w:t xml:space="preserve">950,1 mld. Kč, </w:t>
      </w:r>
      <w:r w:rsidRPr="00CE2DE3">
        <w:rPr>
          <w:bCs/>
        </w:rPr>
        <w:t>což</w:t>
      </w:r>
      <w:r w:rsidRPr="00CE2DE3">
        <w:rPr>
          <w:b/>
          <w:bCs/>
        </w:rPr>
        <w:t xml:space="preserve"> </w:t>
      </w:r>
      <w:r w:rsidRPr="00CE2DE3">
        <w:t>bylo o </w:t>
      </w:r>
      <w:r w:rsidRPr="00CE2DE3">
        <w:rPr>
          <w:bCs/>
        </w:rPr>
        <w:t xml:space="preserve">64,6 mld. Kč </w:t>
      </w:r>
      <w:r w:rsidRPr="00CE2DE3">
        <w:t>více než o rok dříve</w:t>
      </w:r>
      <w:r w:rsidR="00CE2DE3" w:rsidRPr="00CE2DE3">
        <w:t>,</w:t>
      </w:r>
    </w:p>
    <w:p w:rsidR="00643A5A" w:rsidRDefault="00643A5A" w:rsidP="00643A5A">
      <w:pPr>
        <w:numPr>
          <w:ilvl w:val="0"/>
          <w:numId w:val="23"/>
        </w:numPr>
        <w:spacing w:after="120" w:line="360" w:lineRule="auto"/>
        <w:jc w:val="both"/>
        <w:rPr>
          <w:bCs/>
        </w:rPr>
      </w:pPr>
      <w:r w:rsidRPr="00CE2DE3">
        <w:rPr>
          <w:b/>
          <w:bCs/>
        </w:rPr>
        <w:t>objem</w:t>
      </w:r>
      <w:r w:rsidRPr="00CE2DE3">
        <w:t xml:space="preserve"> </w:t>
      </w:r>
      <w:r w:rsidRPr="00CE2DE3">
        <w:rPr>
          <w:b/>
        </w:rPr>
        <w:t xml:space="preserve">ostatních </w:t>
      </w:r>
      <w:r w:rsidRPr="00CE2DE3">
        <w:rPr>
          <w:b/>
          <w:bCs/>
        </w:rPr>
        <w:t xml:space="preserve">úvěrů se zvýšil meziročně </w:t>
      </w:r>
      <w:r w:rsidRPr="00CE2DE3">
        <w:rPr>
          <w:bCs/>
        </w:rPr>
        <w:t xml:space="preserve">celkem </w:t>
      </w:r>
      <w:r w:rsidRPr="00CE2DE3">
        <w:rPr>
          <w:b/>
          <w:bCs/>
        </w:rPr>
        <w:t xml:space="preserve">o 20,7 mld. Kč, </w:t>
      </w:r>
      <w:r w:rsidRPr="00CE2DE3">
        <w:rPr>
          <w:bCs/>
        </w:rPr>
        <w:t xml:space="preserve">v tom zahrnuté </w:t>
      </w:r>
      <w:r w:rsidRPr="00CE2DE3">
        <w:rPr>
          <w:b/>
          <w:bCs/>
        </w:rPr>
        <w:t>spotřební úvěry domácností</w:t>
      </w:r>
      <w:r w:rsidRPr="00CE2DE3">
        <w:rPr>
          <w:bCs/>
        </w:rPr>
        <w:t xml:space="preserve"> u obchodních bank </w:t>
      </w:r>
      <w:r w:rsidRPr="00CE2DE3">
        <w:rPr>
          <w:b/>
          <w:bCs/>
        </w:rPr>
        <w:t>vzrostly o 17,4 mld. Kč.</w:t>
      </w:r>
      <w:r w:rsidRPr="00CE2DE3">
        <w:rPr>
          <w:bCs/>
        </w:rPr>
        <w:t xml:space="preserve"> Takto</w:t>
      </w:r>
      <w:r w:rsidRPr="00CE2DE3">
        <w:rPr>
          <w:b/>
          <w:bCs/>
        </w:rPr>
        <w:t xml:space="preserve"> </w:t>
      </w:r>
      <w:r w:rsidRPr="00CE2DE3">
        <w:rPr>
          <w:bCs/>
        </w:rPr>
        <w:t>výrazný</w:t>
      </w:r>
      <w:r w:rsidRPr="00CE2DE3">
        <w:rPr>
          <w:b/>
          <w:bCs/>
        </w:rPr>
        <w:t xml:space="preserve"> </w:t>
      </w:r>
      <w:r w:rsidRPr="00CE2DE3">
        <w:rPr>
          <w:bCs/>
        </w:rPr>
        <w:t>růst (oproti dlouhodobému trendu) byl způsoben fúzí pobočky zahraniční banky s nebankovním subjektem, který znamenal jednorázové zvýšení bilanční sumy bank o 20 mld. Kč.</w:t>
      </w:r>
    </w:p>
    <w:p w:rsidR="00344E5D" w:rsidRDefault="00344E5D" w:rsidP="00643A5A">
      <w:pPr>
        <w:spacing w:after="240" w:line="360" w:lineRule="auto"/>
        <w:jc w:val="both"/>
        <w:rPr>
          <w:bCs/>
        </w:rPr>
      </w:pPr>
    </w:p>
    <w:p w:rsidR="00643A5A" w:rsidRPr="00CE2DE3" w:rsidRDefault="00643A5A" w:rsidP="00643A5A">
      <w:pPr>
        <w:spacing w:after="240" w:line="360" w:lineRule="auto"/>
        <w:jc w:val="both"/>
        <w:rPr>
          <w:bCs/>
        </w:rPr>
      </w:pPr>
      <w:r w:rsidRPr="00CE2DE3">
        <w:rPr>
          <w:bCs/>
        </w:rPr>
        <w:tab/>
      </w:r>
      <w:r w:rsidRPr="00CE2DE3">
        <w:rPr>
          <w:b/>
          <w:bCs/>
        </w:rPr>
        <w:t>Domácnosti</w:t>
      </w:r>
      <w:r w:rsidRPr="00CE2DE3">
        <w:rPr>
          <w:bCs/>
        </w:rPr>
        <w:t xml:space="preserve"> </w:t>
      </w:r>
      <w:r w:rsidRPr="00CE2DE3">
        <w:rPr>
          <w:b/>
          <w:bCs/>
        </w:rPr>
        <w:t xml:space="preserve">vytvořily </w:t>
      </w:r>
      <w:r w:rsidRPr="00CE2DE3">
        <w:rPr>
          <w:bCs/>
        </w:rPr>
        <w:t xml:space="preserve">za první tři čtvrtletí roku 2015 </w:t>
      </w:r>
      <w:r w:rsidRPr="00CE2DE3">
        <w:rPr>
          <w:b/>
          <w:bCs/>
        </w:rPr>
        <w:t>nové</w:t>
      </w:r>
      <w:r w:rsidRPr="00CE2DE3">
        <w:rPr>
          <w:bCs/>
        </w:rPr>
        <w:t xml:space="preserve"> </w:t>
      </w:r>
      <w:r w:rsidRPr="00CE2DE3">
        <w:rPr>
          <w:b/>
          <w:bCs/>
        </w:rPr>
        <w:t>úspory</w:t>
      </w:r>
      <w:r w:rsidRPr="00CE2DE3">
        <w:rPr>
          <w:bCs/>
        </w:rPr>
        <w:t xml:space="preserve"> a</w:t>
      </w:r>
      <w:r w:rsidRPr="00CE2DE3">
        <w:rPr>
          <w:b/>
          <w:bCs/>
        </w:rPr>
        <w:t xml:space="preserve"> </w:t>
      </w:r>
      <w:r w:rsidRPr="00CE2DE3">
        <w:rPr>
          <w:bCs/>
        </w:rPr>
        <w:t xml:space="preserve">nadále </w:t>
      </w:r>
      <w:r w:rsidRPr="00CE2DE3">
        <w:rPr>
          <w:b/>
          <w:bCs/>
        </w:rPr>
        <w:t>pokračoval</w:t>
      </w:r>
      <w:r w:rsidRPr="00CE2DE3">
        <w:rPr>
          <w:bCs/>
        </w:rPr>
        <w:t xml:space="preserve"> trend </w:t>
      </w:r>
      <w:r w:rsidRPr="00CE2DE3">
        <w:rPr>
          <w:b/>
          <w:bCs/>
        </w:rPr>
        <w:t>orientace na likvidnější netermínované vklady</w:t>
      </w:r>
      <w:r w:rsidRPr="00CE2DE3">
        <w:rPr>
          <w:bCs/>
        </w:rPr>
        <w:t xml:space="preserve"> v podobě peněz na běžných nebo spořicích účtech. Vzhledem ke stále nízkému úročení domácnosti jen omezeně využívaly méně likvidní dlouhodobé formy spoření:</w:t>
      </w:r>
    </w:p>
    <w:p w:rsidR="00643A5A" w:rsidRPr="00CE2DE3" w:rsidRDefault="00643A5A" w:rsidP="00344E5D">
      <w:pPr>
        <w:numPr>
          <w:ilvl w:val="0"/>
          <w:numId w:val="24"/>
        </w:numPr>
        <w:spacing w:after="240" w:line="360" w:lineRule="auto"/>
        <w:jc w:val="both"/>
        <w:rPr>
          <w:b/>
          <w:bCs/>
        </w:rPr>
      </w:pPr>
      <w:r w:rsidRPr="00CE2DE3">
        <w:rPr>
          <w:b/>
          <w:bCs/>
        </w:rPr>
        <w:lastRenderedPageBreak/>
        <w:t>celkový objem</w:t>
      </w:r>
      <w:r w:rsidRPr="00CE2DE3">
        <w:t xml:space="preserve"> bankovních </w:t>
      </w:r>
      <w:r w:rsidRPr="00CE2DE3">
        <w:rPr>
          <w:b/>
          <w:bCs/>
        </w:rPr>
        <w:t>úspor domácností</w:t>
      </w:r>
      <w:r w:rsidRPr="00CE2DE3">
        <w:t xml:space="preserve"> činil ke konci září 2015 </w:t>
      </w:r>
      <w:r w:rsidRPr="00CE2DE3">
        <w:rPr>
          <w:b/>
        </w:rPr>
        <w:t xml:space="preserve">1 983,2 mld. Kč </w:t>
      </w:r>
      <w:r w:rsidRPr="00CE2DE3">
        <w:t>a</w:t>
      </w:r>
      <w:r w:rsidRPr="00CE2DE3">
        <w:rPr>
          <w:b/>
          <w:bCs/>
        </w:rPr>
        <w:t xml:space="preserve"> </w:t>
      </w:r>
      <w:r w:rsidRPr="00CE2DE3">
        <w:t xml:space="preserve">podle dostupných údajů ČNB meziročně </w:t>
      </w:r>
      <w:r w:rsidRPr="00CE2DE3">
        <w:rPr>
          <w:b/>
        </w:rPr>
        <w:t>vzrostl</w:t>
      </w:r>
      <w:r w:rsidRPr="00CE2DE3">
        <w:t xml:space="preserve"> </w:t>
      </w:r>
      <w:r w:rsidRPr="00CE2DE3">
        <w:rPr>
          <w:b/>
          <w:bCs/>
        </w:rPr>
        <w:t>o 108,7 mld. Kč.</w:t>
      </w:r>
      <w:r w:rsidRPr="00CE2DE3">
        <w:rPr>
          <w:bCs/>
        </w:rPr>
        <w:t xml:space="preserve"> Od začátku roku 2015 do konce třetího čtvrtletí se vklady zvýšily o 60,0 mld. Kč, </w:t>
      </w:r>
    </w:p>
    <w:p w:rsidR="00643A5A" w:rsidRPr="00CE2DE3" w:rsidRDefault="00643A5A" w:rsidP="00344E5D">
      <w:pPr>
        <w:numPr>
          <w:ilvl w:val="0"/>
          <w:numId w:val="24"/>
        </w:numPr>
        <w:spacing w:after="240" w:line="360" w:lineRule="auto"/>
        <w:jc w:val="both"/>
        <w:rPr>
          <w:b/>
          <w:bCs/>
        </w:rPr>
      </w:pPr>
      <w:r w:rsidRPr="00CE2DE3">
        <w:t xml:space="preserve">celkově </w:t>
      </w:r>
      <w:r w:rsidRPr="00CE2DE3">
        <w:rPr>
          <w:b/>
        </w:rPr>
        <w:t>netermínované vklady</w:t>
      </w:r>
      <w:r w:rsidRPr="00CE2DE3">
        <w:t xml:space="preserve"> na konci září </w:t>
      </w:r>
      <w:r w:rsidRPr="00CE2DE3">
        <w:rPr>
          <w:b/>
        </w:rPr>
        <w:t>meziročně vzrostly o 146,3 mld. Kč</w:t>
      </w:r>
      <w:r w:rsidRPr="00CE2DE3">
        <w:t xml:space="preserve"> a </w:t>
      </w:r>
      <w:r w:rsidRPr="00CE2DE3">
        <w:rPr>
          <w:b/>
        </w:rPr>
        <w:t>termínované vklady poklesly o 37,6 mld. Kč,</w:t>
      </w:r>
    </w:p>
    <w:p w:rsidR="00643A5A" w:rsidRPr="00CE2DE3" w:rsidRDefault="00643A5A" w:rsidP="00643A5A">
      <w:pPr>
        <w:numPr>
          <w:ilvl w:val="0"/>
          <w:numId w:val="24"/>
        </w:numPr>
        <w:spacing w:after="120" w:line="360" w:lineRule="auto"/>
        <w:jc w:val="both"/>
      </w:pPr>
      <w:r w:rsidRPr="00CE2DE3">
        <w:t xml:space="preserve">domácnosti využívaly pro vklady převážně domácí měnu. Na konci třetího čtvrtletí roku 2015 činila podle ČNB </w:t>
      </w:r>
      <w:r w:rsidRPr="00CE2DE3">
        <w:rPr>
          <w:b/>
        </w:rPr>
        <w:t xml:space="preserve">výše </w:t>
      </w:r>
      <w:proofErr w:type="spellStart"/>
      <w:r w:rsidRPr="00CE2DE3">
        <w:rPr>
          <w:b/>
        </w:rPr>
        <w:t>cizoměnových</w:t>
      </w:r>
      <w:proofErr w:type="spellEnd"/>
      <w:r w:rsidRPr="00CE2DE3">
        <w:rPr>
          <w:b/>
        </w:rPr>
        <w:t xml:space="preserve"> vkladů </w:t>
      </w:r>
      <w:r w:rsidRPr="00CE2DE3">
        <w:t>jen</w:t>
      </w:r>
      <w:r w:rsidRPr="00CE2DE3">
        <w:rPr>
          <w:b/>
        </w:rPr>
        <w:t xml:space="preserve"> 83,8 mld. Kč.</w:t>
      </w:r>
    </w:p>
    <w:sectPr w:rsidR="00643A5A" w:rsidRPr="00CE2DE3" w:rsidSect="00A96EE8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03" w:rsidRDefault="00526103">
      <w:r>
        <w:separator/>
      </w:r>
    </w:p>
  </w:endnote>
  <w:endnote w:type="continuationSeparator" w:id="0">
    <w:p w:rsidR="00526103" w:rsidRDefault="0052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A4" w:rsidRDefault="00011C6E" w:rsidP="009D61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1CA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1CA4" w:rsidRDefault="00A11CA4" w:rsidP="009D61EF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A4" w:rsidRDefault="00A11CA4" w:rsidP="009D61EF">
    <w:pPr>
      <w:pStyle w:val="Zpat"/>
      <w:framePr w:wrap="around" w:vAnchor="text" w:hAnchor="margin" w:xAlign="center" w:y="1"/>
      <w:ind w:right="360"/>
      <w:rPr>
        <w:rStyle w:val="slostrnky"/>
      </w:rPr>
    </w:pPr>
  </w:p>
  <w:p w:rsidR="00A11CA4" w:rsidRDefault="00A11CA4" w:rsidP="0012791D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E8" w:rsidRPr="00A96EE8" w:rsidRDefault="00011C6E">
    <w:pPr>
      <w:pStyle w:val="Zpat"/>
      <w:jc w:val="center"/>
    </w:pPr>
    <w:r w:rsidRPr="00A96EE8">
      <w:fldChar w:fldCharType="begin"/>
    </w:r>
    <w:r w:rsidR="00A96EE8" w:rsidRPr="00A96EE8">
      <w:instrText>PAGE   \* MERGEFORMAT</w:instrText>
    </w:r>
    <w:r w:rsidRPr="00A96EE8">
      <w:fldChar w:fldCharType="separate"/>
    </w:r>
    <w:r w:rsidR="00E96784">
      <w:rPr>
        <w:noProof/>
      </w:rPr>
      <w:t>21</w:t>
    </w:r>
    <w:r w:rsidRPr="00A96EE8">
      <w:fldChar w:fldCharType="end"/>
    </w:r>
  </w:p>
  <w:p w:rsidR="00A96EE8" w:rsidRDefault="00A96EE8" w:rsidP="009D61EF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03" w:rsidRDefault="00526103">
      <w:r>
        <w:separator/>
      </w:r>
    </w:p>
  </w:footnote>
  <w:footnote w:type="continuationSeparator" w:id="0">
    <w:p w:rsidR="00526103" w:rsidRDefault="00526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502"/>
    <w:multiLevelType w:val="hybridMultilevel"/>
    <w:tmpl w:val="1D00D456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81A"/>
    <w:multiLevelType w:val="hybridMultilevel"/>
    <w:tmpl w:val="A57026E2"/>
    <w:lvl w:ilvl="0" w:tplc="4340610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FC22C6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9023944"/>
    <w:multiLevelType w:val="hybridMultilevel"/>
    <w:tmpl w:val="57B8BD6C"/>
    <w:lvl w:ilvl="0" w:tplc="43406100">
      <w:start w:val="1"/>
      <w:numFmt w:val="bullet"/>
      <w:lvlText w:val="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0CDC08D0"/>
    <w:multiLevelType w:val="hybridMultilevel"/>
    <w:tmpl w:val="C7964F78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02D7D"/>
    <w:multiLevelType w:val="hybridMultilevel"/>
    <w:tmpl w:val="B8F648E6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62A49"/>
    <w:multiLevelType w:val="hybridMultilevel"/>
    <w:tmpl w:val="C9205FB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F5332"/>
    <w:multiLevelType w:val="hybridMultilevel"/>
    <w:tmpl w:val="C2A83A96"/>
    <w:lvl w:ilvl="0" w:tplc="8DD49488">
      <w:start w:val="1"/>
      <w:numFmt w:val="bullet"/>
      <w:lvlText w:val=""/>
      <w:lvlJc w:val="left"/>
      <w:pPr>
        <w:tabs>
          <w:tab w:val="num" w:pos="-138"/>
        </w:tabs>
        <w:ind w:left="-13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8">
    <w:nsid w:val="1AED26A8"/>
    <w:multiLevelType w:val="hybridMultilevel"/>
    <w:tmpl w:val="7182FF5A"/>
    <w:lvl w:ilvl="0" w:tplc="0986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06488"/>
    <w:multiLevelType w:val="hybridMultilevel"/>
    <w:tmpl w:val="FBAEDE52"/>
    <w:lvl w:ilvl="0" w:tplc="43406100">
      <w:start w:val="1"/>
      <w:numFmt w:val="bullet"/>
      <w:lvlText w:val=""/>
      <w:lvlJc w:val="left"/>
      <w:pPr>
        <w:tabs>
          <w:tab w:val="num" w:pos="130"/>
        </w:tabs>
        <w:ind w:left="13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680"/>
        </w:tabs>
        <w:ind w:left="-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"/>
        </w:tabs>
        <w:ind w:left="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</w:abstractNum>
  <w:abstractNum w:abstractNumId="10">
    <w:nsid w:val="1F680B7A"/>
    <w:multiLevelType w:val="hybridMultilevel"/>
    <w:tmpl w:val="ECDC3790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A2001"/>
    <w:multiLevelType w:val="hybridMultilevel"/>
    <w:tmpl w:val="0C28C9FE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214034A"/>
    <w:multiLevelType w:val="hybridMultilevel"/>
    <w:tmpl w:val="994EC4B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14D35"/>
    <w:multiLevelType w:val="hybridMultilevel"/>
    <w:tmpl w:val="45A88F2A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881E22"/>
    <w:multiLevelType w:val="hybridMultilevel"/>
    <w:tmpl w:val="DB328FF8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0636F"/>
    <w:multiLevelType w:val="hybridMultilevel"/>
    <w:tmpl w:val="A950F9FC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047D3"/>
    <w:multiLevelType w:val="hybridMultilevel"/>
    <w:tmpl w:val="75246BB6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9675C8"/>
    <w:multiLevelType w:val="hybridMultilevel"/>
    <w:tmpl w:val="8CD69554"/>
    <w:lvl w:ilvl="0" w:tplc="4340610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4A64DC9"/>
    <w:multiLevelType w:val="hybridMultilevel"/>
    <w:tmpl w:val="C8447A5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E49DD"/>
    <w:multiLevelType w:val="hybridMultilevel"/>
    <w:tmpl w:val="4D0295B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A4F5E"/>
    <w:multiLevelType w:val="hybridMultilevel"/>
    <w:tmpl w:val="3A7AE7A6"/>
    <w:lvl w:ilvl="0" w:tplc="6504B1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A044C61"/>
    <w:multiLevelType w:val="hybridMultilevel"/>
    <w:tmpl w:val="B8981C4E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14411"/>
    <w:multiLevelType w:val="hybridMultilevel"/>
    <w:tmpl w:val="48A0B058"/>
    <w:lvl w:ilvl="0" w:tplc="28046BB6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245788E"/>
    <w:multiLevelType w:val="hybridMultilevel"/>
    <w:tmpl w:val="240C3C3E"/>
    <w:lvl w:ilvl="0" w:tplc="B3069C9E">
      <w:start w:val="1"/>
      <w:numFmt w:val="bullet"/>
      <w:lvlText w:val="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5E8C7C7D"/>
    <w:multiLevelType w:val="hybridMultilevel"/>
    <w:tmpl w:val="54D60CBC"/>
    <w:lvl w:ilvl="0" w:tplc="C7F0B58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68F414C8"/>
    <w:multiLevelType w:val="hybridMultilevel"/>
    <w:tmpl w:val="02F4A36E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61ACE"/>
    <w:multiLevelType w:val="hybridMultilevel"/>
    <w:tmpl w:val="2542C554"/>
    <w:lvl w:ilvl="0" w:tplc="C7F0B5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4CC01D2"/>
    <w:multiLevelType w:val="hybridMultilevel"/>
    <w:tmpl w:val="278EBF52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9EC21E7"/>
    <w:multiLevelType w:val="hybridMultilevel"/>
    <w:tmpl w:val="C47EC03C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F27AC"/>
    <w:multiLevelType w:val="hybridMultilevel"/>
    <w:tmpl w:val="790065DE"/>
    <w:lvl w:ilvl="0" w:tplc="DC343C08">
      <w:start w:val="1"/>
      <w:numFmt w:val="bullet"/>
      <w:lvlText w:val="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3"/>
  </w:num>
  <w:num w:numId="5">
    <w:abstractNumId w:val="9"/>
  </w:num>
  <w:num w:numId="6">
    <w:abstractNumId w:val="20"/>
  </w:num>
  <w:num w:numId="7">
    <w:abstractNumId w:val="24"/>
  </w:num>
  <w:num w:numId="8">
    <w:abstractNumId w:val="26"/>
  </w:num>
  <w:num w:numId="9">
    <w:abstractNumId w:val="6"/>
  </w:num>
  <w:num w:numId="10">
    <w:abstractNumId w:val="19"/>
  </w:num>
  <w:num w:numId="11">
    <w:abstractNumId w:val="7"/>
  </w:num>
  <w:num w:numId="12">
    <w:abstractNumId w:val="8"/>
  </w:num>
  <w:num w:numId="13">
    <w:abstractNumId w:val="17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28"/>
  </w:num>
  <w:num w:numId="19">
    <w:abstractNumId w:val="12"/>
  </w:num>
  <w:num w:numId="20">
    <w:abstractNumId w:val="10"/>
  </w:num>
  <w:num w:numId="21">
    <w:abstractNumId w:val="5"/>
  </w:num>
  <w:num w:numId="22">
    <w:abstractNumId w:val="25"/>
  </w:num>
  <w:num w:numId="23">
    <w:abstractNumId w:val="27"/>
  </w:num>
  <w:num w:numId="24">
    <w:abstractNumId w:val="11"/>
  </w:num>
  <w:num w:numId="25">
    <w:abstractNumId w:val="15"/>
  </w:num>
  <w:num w:numId="26">
    <w:abstractNumId w:val="16"/>
  </w:num>
  <w:num w:numId="27">
    <w:abstractNumId w:val="21"/>
  </w:num>
  <w:num w:numId="28">
    <w:abstractNumId w:val="22"/>
  </w:num>
  <w:num w:numId="29">
    <w:abstractNumId w:val="29"/>
  </w:num>
  <w:num w:numId="30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20A43"/>
    <w:rsid w:val="000000EB"/>
    <w:rsid w:val="00002D09"/>
    <w:rsid w:val="00005478"/>
    <w:rsid w:val="00006EB7"/>
    <w:rsid w:val="00010CDA"/>
    <w:rsid w:val="00010F96"/>
    <w:rsid w:val="00011C6E"/>
    <w:rsid w:val="0001234D"/>
    <w:rsid w:val="00014B1B"/>
    <w:rsid w:val="00016405"/>
    <w:rsid w:val="0001665E"/>
    <w:rsid w:val="00023B53"/>
    <w:rsid w:val="00024DB4"/>
    <w:rsid w:val="00026922"/>
    <w:rsid w:val="00027377"/>
    <w:rsid w:val="000328D2"/>
    <w:rsid w:val="00034073"/>
    <w:rsid w:val="000346F9"/>
    <w:rsid w:val="00034F71"/>
    <w:rsid w:val="00035DAA"/>
    <w:rsid w:val="000369D6"/>
    <w:rsid w:val="000440BF"/>
    <w:rsid w:val="0004595A"/>
    <w:rsid w:val="000500B2"/>
    <w:rsid w:val="000502BC"/>
    <w:rsid w:val="000504EF"/>
    <w:rsid w:val="00053578"/>
    <w:rsid w:val="00056EE9"/>
    <w:rsid w:val="00057478"/>
    <w:rsid w:val="00060C4C"/>
    <w:rsid w:val="000661B2"/>
    <w:rsid w:val="0006719E"/>
    <w:rsid w:val="0006792F"/>
    <w:rsid w:val="00067C1D"/>
    <w:rsid w:val="000726C6"/>
    <w:rsid w:val="00074F34"/>
    <w:rsid w:val="000762FD"/>
    <w:rsid w:val="00081885"/>
    <w:rsid w:val="00081987"/>
    <w:rsid w:val="000826CF"/>
    <w:rsid w:val="000836FA"/>
    <w:rsid w:val="00084795"/>
    <w:rsid w:val="000854E7"/>
    <w:rsid w:val="00086F29"/>
    <w:rsid w:val="0008744E"/>
    <w:rsid w:val="00092543"/>
    <w:rsid w:val="0009468A"/>
    <w:rsid w:val="00094C4B"/>
    <w:rsid w:val="0009519D"/>
    <w:rsid w:val="000955E9"/>
    <w:rsid w:val="00096186"/>
    <w:rsid w:val="00096434"/>
    <w:rsid w:val="000967B3"/>
    <w:rsid w:val="00096A7F"/>
    <w:rsid w:val="000A1BD3"/>
    <w:rsid w:val="000A2D06"/>
    <w:rsid w:val="000A49DF"/>
    <w:rsid w:val="000A51B8"/>
    <w:rsid w:val="000A78CB"/>
    <w:rsid w:val="000B040F"/>
    <w:rsid w:val="000B146B"/>
    <w:rsid w:val="000B2C7E"/>
    <w:rsid w:val="000B3FEE"/>
    <w:rsid w:val="000B4596"/>
    <w:rsid w:val="000B544B"/>
    <w:rsid w:val="000B5B59"/>
    <w:rsid w:val="000B5DDB"/>
    <w:rsid w:val="000B63CD"/>
    <w:rsid w:val="000C1FB7"/>
    <w:rsid w:val="000C2543"/>
    <w:rsid w:val="000C47CB"/>
    <w:rsid w:val="000C7AE9"/>
    <w:rsid w:val="000D1F1D"/>
    <w:rsid w:val="000D22CA"/>
    <w:rsid w:val="000D2643"/>
    <w:rsid w:val="000D2D91"/>
    <w:rsid w:val="000D795E"/>
    <w:rsid w:val="000E250B"/>
    <w:rsid w:val="000E2B1C"/>
    <w:rsid w:val="000E511A"/>
    <w:rsid w:val="000E5736"/>
    <w:rsid w:val="000E5CDF"/>
    <w:rsid w:val="000F100F"/>
    <w:rsid w:val="000F2E55"/>
    <w:rsid w:val="000F4D5D"/>
    <w:rsid w:val="000F61B6"/>
    <w:rsid w:val="000F74BA"/>
    <w:rsid w:val="000F7E02"/>
    <w:rsid w:val="0010018E"/>
    <w:rsid w:val="0010283B"/>
    <w:rsid w:val="00106D26"/>
    <w:rsid w:val="00110817"/>
    <w:rsid w:val="00110C58"/>
    <w:rsid w:val="00115B02"/>
    <w:rsid w:val="00120BA1"/>
    <w:rsid w:val="0012342A"/>
    <w:rsid w:val="0012791D"/>
    <w:rsid w:val="00130524"/>
    <w:rsid w:val="00132B48"/>
    <w:rsid w:val="00133E09"/>
    <w:rsid w:val="00135798"/>
    <w:rsid w:val="00137FE0"/>
    <w:rsid w:val="00140D80"/>
    <w:rsid w:val="001428A0"/>
    <w:rsid w:val="00142E62"/>
    <w:rsid w:val="00143504"/>
    <w:rsid w:val="00145D4A"/>
    <w:rsid w:val="00145F26"/>
    <w:rsid w:val="001477AF"/>
    <w:rsid w:val="00147B50"/>
    <w:rsid w:val="00147D8B"/>
    <w:rsid w:val="00151010"/>
    <w:rsid w:val="001510AF"/>
    <w:rsid w:val="001517E9"/>
    <w:rsid w:val="00152475"/>
    <w:rsid w:val="00153554"/>
    <w:rsid w:val="00156FD4"/>
    <w:rsid w:val="0015735E"/>
    <w:rsid w:val="001606C1"/>
    <w:rsid w:val="00161574"/>
    <w:rsid w:val="00161EFC"/>
    <w:rsid w:val="00165FA8"/>
    <w:rsid w:val="00167FBB"/>
    <w:rsid w:val="00171413"/>
    <w:rsid w:val="00171D7C"/>
    <w:rsid w:val="00172938"/>
    <w:rsid w:val="0017383F"/>
    <w:rsid w:val="00180012"/>
    <w:rsid w:val="00180982"/>
    <w:rsid w:val="00181966"/>
    <w:rsid w:val="00181ABD"/>
    <w:rsid w:val="00182E4A"/>
    <w:rsid w:val="00185755"/>
    <w:rsid w:val="00187C6B"/>
    <w:rsid w:val="00191E64"/>
    <w:rsid w:val="001920B8"/>
    <w:rsid w:val="0019239A"/>
    <w:rsid w:val="00194236"/>
    <w:rsid w:val="001966D7"/>
    <w:rsid w:val="001968B0"/>
    <w:rsid w:val="001A09FA"/>
    <w:rsid w:val="001A2454"/>
    <w:rsid w:val="001A3D6D"/>
    <w:rsid w:val="001A408C"/>
    <w:rsid w:val="001A4B38"/>
    <w:rsid w:val="001A6B10"/>
    <w:rsid w:val="001B1157"/>
    <w:rsid w:val="001B128E"/>
    <w:rsid w:val="001B53E1"/>
    <w:rsid w:val="001B5575"/>
    <w:rsid w:val="001C00DC"/>
    <w:rsid w:val="001C27D9"/>
    <w:rsid w:val="001C6544"/>
    <w:rsid w:val="001D0DF4"/>
    <w:rsid w:val="001D2A62"/>
    <w:rsid w:val="001D58C4"/>
    <w:rsid w:val="001D5B7B"/>
    <w:rsid w:val="001D6C57"/>
    <w:rsid w:val="001E1680"/>
    <w:rsid w:val="001E252D"/>
    <w:rsid w:val="001E2B3F"/>
    <w:rsid w:val="001E336C"/>
    <w:rsid w:val="001E3F11"/>
    <w:rsid w:val="001E43C5"/>
    <w:rsid w:val="001E5077"/>
    <w:rsid w:val="001E5C7D"/>
    <w:rsid w:val="001E7439"/>
    <w:rsid w:val="001F0111"/>
    <w:rsid w:val="001F14A5"/>
    <w:rsid w:val="001F3E7B"/>
    <w:rsid w:val="001F459A"/>
    <w:rsid w:val="0020140E"/>
    <w:rsid w:val="00201826"/>
    <w:rsid w:val="00205E50"/>
    <w:rsid w:val="0020644C"/>
    <w:rsid w:val="002137FC"/>
    <w:rsid w:val="00215776"/>
    <w:rsid w:val="00215C3E"/>
    <w:rsid w:val="0021651C"/>
    <w:rsid w:val="00216DE1"/>
    <w:rsid w:val="0022177B"/>
    <w:rsid w:val="00222F2A"/>
    <w:rsid w:val="0022352C"/>
    <w:rsid w:val="00225A56"/>
    <w:rsid w:val="00225CEB"/>
    <w:rsid w:val="002260E9"/>
    <w:rsid w:val="00227B36"/>
    <w:rsid w:val="0023028A"/>
    <w:rsid w:val="00235872"/>
    <w:rsid w:val="00235DC0"/>
    <w:rsid w:val="0024166C"/>
    <w:rsid w:val="00241A60"/>
    <w:rsid w:val="002449FA"/>
    <w:rsid w:val="0024630B"/>
    <w:rsid w:val="00252F44"/>
    <w:rsid w:val="00256E24"/>
    <w:rsid w:val="00262743"/>
    <w:rsid w:val="002632A7"/>
    <w:rsid w:val="002632B5"/>
    <w:rsid w:val="00263534"/>
    <w:rsid w:val="00263617"/>
    <w:rsid w:val="002641B2"/>
    <w:rsid w:val="0026455F"/>
    <w:rsid w:val="00266116"/>
    <w:rsid w:val="00266CD3"/>
    <w:rsid w:val="00272630"/>
    <w:rsid w:val="00273F73"/>
    <w:rsid w:val="0027649D"/>
    <w:rsid w:val="002774A7"/>
    <w:rsid w:val="0027763A"/>
    <w:rsid w:val="00280FA1"/>
    <w:rsid w:val="002811A6"/>
    <w:rsid w:val="00282C9F"/>
    <w:rsid w:val="002870FA"/>
    <w:rsid w:val="002906EE"/>
    <w:rsid w:val="00292417"/>
    <w:rsid w:val="00292F9B"/>
    <w:rsid w:val="00293309"/>
    <w:rsid w:val="002962F8"/>
    <w:rsid w:val="00297482"/>
    <w:rsid w:val="002975AF"/>
    <w:rsid w:val="00297944"/>
    <w:rsid w:val="002A06EE"/>
    <w:rsid w:val="002A27E1"/>
    <w:rsid w:val="002A2DA4"/>
    <w:rsid w:val="002A5D35"/>
    <w:rsid w:val="002B04E3"/>
    <w:rsid w:val="002B0520"/>
    <w:rsid w:val="002B0DA2"/>
    <w:rsid w:val="002B3C16"/>
    <w:rsid w:val="002B4927"/>
    <w:rsid w:val="002B49B5"/>
    <w:rsid w:val="002B4FAD"/>
    <w:rsid w:val="002B5737"/>
    <w:rsid w:val="002B5F67"/>
    <w:rsid w:val="002B6B13"/>
    <w:rsid w:val="002C1344"/>
    <w:rsid w:val="002C349C"/>
    <w:rsid w:val="002C4F03"/>
    <w:rsid w:val="002C5635"/>
    <w:rsid w:val="002D0513"/>
    <w:rsid w:val="002D3148"/>
    <w:rsid w:val="002D6851"/>
    <w:rsid w:val="002D784C"/>
    <w:rsid w:val="002E6107"/>
    <w:rsid w:val="002E6A48"/>
    <w:rsid w:val="002E6E34"/>
    <w:rsid w:val="002E72EE"/>
    <w:rsid w:val="002F0A3D"/>
    <w:rsid w:val="002F2A13"/>
    <w:rsid w:val="002F2A17"/>
    <w:rsid w:val="002F484C"/>
    <w:rsid w:val="002F48B8"/>
    <w:rsid w:val="002F7979"/>
    <w:rsid w:val="00301681"/>
    <w:rsid w:val="00302A17"/>
    <w:rsid w:val="00304AB9"/>
    <w:rsid w:val="003071AC"/>
    <w:rsid w:val="00307756"/>
    <w:rsid w:val="0031187B"/>
    <w:rsid w:val="00312156"/>
    <w:rsid w:val="003160DB"/>
    <w:rsid w:val="00321CB8"/>
    <w:rsid w:val="00322690"/>
    <w:rsid w:val="003233CB"/>
    <w:rsid w:val="00323B0B"/>
    <w:rsid w:val="00323C5F"/>
    <w:rsid w:val="00323FC6"/>
    <w:rsid w:val="00324CFC"/>
    <w:rsid w:val="003326DF"/>
    <w:rsid w:val="00332E16"/>
    <w:rsid w:val="003331C6"/>
    <w:rsid w:val="003334BB"/>
    <w:rsid w:val="00333BDB"/>
    <w:rsid w:val="00335422"/>
    <w:rsid w:val="00335876"/>
    <w:rsid w:val="00335FCC"/>
    <w:rsid w:val="003402F3"/>
    <w:rsid w:val="00340D55"/>
    <w:rsid w:val="00341F6A"/>
    <w:rsid w:val="003448C2"/>
    <w:rsid w:val="00344E5D"/>
    <w:rsid w:val="00346852"/>
    <w:rsid w:val="00347013"/>
    <w:rsid w:val="00352002"/>
    <w:rsid w:val="00353ED1"/>
    <w:rsid w:val="00360495"/>
    <w:rsid w:val="0036224E"/>
    <w:rsid w:val="003632E9"/>
    <w:rsid w:val="003639C8"/>
    <w:rsid w:val="0036666D"/>
    <w:rsid w:val="00366B48"/>
    <w:rsid w:val="00367104"/>
    <w:rsid w:val="0037030C"/>
    <w:rsid w:val="00371419"/>
    <w:rsid w:val="00373A15"/>
    <w:rsid w:val="0037489B"/>
    <w:rsid w:val="00374E47"/>
    <w:rsid w:val="003765A0"/>
    <w:rsid w:val="0037747C"/>
    <w:rsid w:val="0037789C"/>
    <w:rsid w:val="00377D70"/>
    <w:rsid w:val="00381122"/>
    <w:rsid w:val="00381E4A"/>
    <w:rsid w:val="00382F48"/>
    <w:rsid w:val="00390B45"/>
    <w:rsid w:val="0039170A"/>
    <w:rsid w:val="00394EC5"/>
    <w:rsid w:val="003A18D1"/>
    <w:rsid w:val="003A1C1B"/>
    <w:rsid w:val="003A5FF3"/>
    <w:rsid w:val="003B0FD0"/>
    <w:rsid w:val="003B18D4"/>
    <w:rsid w:val="003B1911"/>
    <w:rsid w:val="003B1C3F"/>
    <w:rsid w:val="003B25DB"/>
    <w:rsid w:val="003B2934"/>
    <w:rsid w:val="003B5B55"/>
    <w:rsid w:val="003C126B"/>
    <w:rsid w:val="003C1513"/>
    <w:rsid w:val="003C25A9"/>
    <w:rsid w:val="003C2A0B"/>
    <w:rsid w:val="003C36AA"/>
    <w:rsid w:val="003C37B1"/>
    <w:rsid w:val="003C3E2F"/>
    <w:rsid w:val="003C5A78"/>
    <w:rsid w:val="003C5FE0"/>
    <w:rsid w:val="003D0781"/>
    <w:rsid w:val="003D2136"/>
    <w:rsid w:val="003D6FEE"/>
    <w:rsid w:val="003D7AD8"/>
    <w:rsid w:val="003E0230"/>
    <w:rsid w:val="003E0F95"/>
    <w:rsid w:val="003E1D08"/>
    <w:rsid w:val="003E2F2B"/>
    <w:rsid w:val="003E3400"/>
    <w:rsid w:val="003E5052"/>
    <w:rsid w:val="003E5BD4"/>
    <w:rsid w:val="003E6081"/>
    <w:rsid w:val="003E6C1F"/>
    <w:rsid w:val="003E7BC5"/>
    <w:rsid w:val="003F0B13"/>
    <w:rsid w:val="003F0BF7"/>
    <w:rsid w:val="003F0ED3"/>
    <w:rsid w:val="003F1A7F"/>
    <w:rsid w:val="003F2A46"/>
    <w:rsid w:val="003F3BED"/>
    <w:rsid w:val="003F4E28"/>
    <w:rsid w:val="003F51E5"/>
    <w:rsid w:val="003F5656"/>
    <w:rsid w:val="003F6B21"/>
    <w:rsid w:val="003F6CC1"/>
    <w:rsid w:val="003F70E9"/>
    <w:rsid w:val="003F71D8"/>
    <w:rsid w:val="00400B00"/>
    <w:rsid w:val="004042A6"/>
    <w:rsid w:val="00405F2E"/>
    <w:rsid w:val="004075F3"/>
    <w:rsid w:val="00410CC3"/>
    <w:rsid w:val="004114D2"/>
    <w:rsid w:val="004118C0"/>
    <w:rsid w:val="00411A9D"/>
    <w:rsid w:val="00412803"/>
    <w:rsid w:val="00413CAB"/>
    <w:rsid w:val="00415A64"/>
    <w:rsid w:val="00420D2D"/>
    <w:rsid w:val="0042117A"/>
    <w:rsid w:val="004218BD"/>
    <w:rsid w:val="004222BE"/>
    <w:rsid w:val="00422785"/>
    <w:rsid w:val="00423244"/>
    <w:rsid w:val="00423BC2"/>
    <w:rsid w:val="00423EE0"/>
    <w:rsid w:val="0042410B"/>
    <w:rsid w:val="004270DF"/>
    <w:rsid w:val="00427F15"/>
    <w:rsid w:val="00430582"/>
    <w:rsid w:val="004311C4"/>
    <w:rsid w:val="00431CCA"/>
    <w:rsid w:val="004340F6"/>
    <w:rsid w:val="004348C8"/>
    <w:rsid w:val="00441AE6"/>
    <w:rsid w:val="004423E3"/>
    <w:rsid w:val="00445218"/>
    <w:rsid w:val="004452EB"/>
    <w:rsid w:val="0044610D"/>
    <w:rsid w:val="00451255"/>
    <w:rsid w:val="0045165C"/>
    <w:rsid w:val="00451986"/>
    <w:rsid w:val="004519FC"/>
    <w:rsid w:val="00452544"/>
    <w:rsid w:val="00455F7F"/>
    <w:rsid w:val="0045602D"/>
    <w:rsid w:val="004564DE"/>
    <w:rsid w:val="0045768D"/>
    <w:rsid w:val="00460545"/>
    <w:rsid w:val="00462BB2"/>
    <w:rsid w:val="00462D7E"/>
    <w:rsid w:val="00467B5F"/>
    <w:rsid w:val="00470505"/>
    <w:rsid w:val="00472764"/>
    <w:rsid w:val="00474014"/>
    <w:rsid w:val="00475AEE"/>
    <w:rsid w:val="004824CD"/>
    <w:rsid w:val="00483D70"/>
    <w:rsid w:val="004852E1"/>
    <w:rsid w:val="004910D4"/>
    <w:rsid w:val="004913F9"/>
    <w:rsid w:val="0049246E"/>
    <w:rsid w:val="00492CD6"/>
    <w:rsid w:val="00492FAD"/>
    <w:rsid w:val="00493FBD"/>
    <w:rsid w:val="0049472C"/>
    <w:rsid w:val="00494D51"/>
    <w:rsid w:val="00494FB1"/>
    <w:rsid w:val="00496576"/>
    <w:rsid w:val="00496638"/>
    <w:rsid w:val="004A045F"/>
    <w:rsid w:val="004A1DF1"/>
    <w:rsid w:val="004A3DE9"/>
    <w:rsid w:val="004A6A3E"/>
    <w:rsid w:val="004A6E89"/>
    <w:rsid w:val="004B26D4"/>
    <w:rsid w:val="004B378F"/>
    <w:rsid w:val="004B4C9C"/>
    <w:rsid w:val="004B5743"/>
    <w:rsid w:val="004B72DB"/>
    <w:rsid w:val="004C0A00"/>
    <w:rsid w:val="004C18AA"/>
    <w:rsid w:val="004C2CEA"/>
    <w:rsid w:val="004C4D9B"/>
    <w:rsid w:val="004C5082"/>
    <w:rsid w:val="004C5426"/>
    <w:rsid w:val="004C6BCD"/>
    <w:rsid w:val="004C7903"/>
    <w:rsid w:val="004C7B36"/>
    <w:rsid w:val="004D06D9"/>
    <w:rsid w:val="004D6443"/>
    <w:rsid w:val="004D6AAE"/>
    <w:rsid w:val="004D7AB2"/>
    <w:rsid w:val="004D7F06"/>
    <w:rsid w:val="004E081E"/>
    <w:rsid w:val="004E0A50"/>
    <w:rsid w:val="004E1008"/>
    <w:rsid w:val="004E29D8"/>
    <w:rsid w:val="004E5413"/>
    <w:rsid w:val="004E6D52"/>
    <w:rsid w:val="004F2C07"/>
    <w:rsid w:val="004F6711"/>
    <w:rsid w:val="004F77DF"/>
    <w:rsid w:val="0050058A"/>
    <w:rsid w:val="0050199A"/>
    <w:rsid w:val="00501B0E"/>
    <w:rsid w:val="00503AF0"/>
    <w:rsid w:val="00506539"/>
    <w:rsid w:val="00510802"/>
    <w:rsid w:val="00510E87"/>
    <w:rsid w:val="00514811"/>
    <w:rsid w:val="00515D0F"/>
    <w:rsid w:val="005172A1"/>
    <w:rsid w:val="00526103"/>
    <w:rsid w:val="0052714E"/>
    <w:rsid w:val="005339C5"/>
    <w:rsid w:val="005402D1"/>
    <w:rsid w:val="00540BB1"/>
    <w:rsid w:val="0054220F"/>
    <w:rsid w:val="00542F8E"/>
    <w:rsid w:val="005438F8"/>
    <w:rsid w:val="0054569A"/>
    <w:rsid w:val="00547851"/>
    <w:rsid w:val="0055000D"/>
    <w:rsid w:val="0055037D"/>
    <w:rsid w:val="005509E5"/>
    <w:rsid w:val="00554155"/>
    <w:rsid w:val="00554AC7"/>
    <w:rsid w:val="0055621D"/>
    <w:rsid w:val="00557044"/>
    <w:rsid w:val="00563A06"/>
    <w:rsid w:val="00563A5B"/>
    <w:rsid w:val="00563FCF"/>
    <w:rsid w:val="00565248"/>
    <w:rsid w:val="00565E53"/>
    <w:rsid w:val="005663BC"/>
    <w:rsid w:val="00566AA9"/>
    <w:rsid w:val="00566B12"/>
    <w:rsid w:val="005672CA"/>
    <w:rsid w:val="00567AC1"/>
    <w:rsid w:val="00570084"/>
    <w:rsid w:val="00570657"/>
    <w:rsid w:val="0057079C"/>
    <w:rsid w:val="005717BF"/>
    <w:rsid w:val="005734FA"/>
    <w:rsid w:val="00573E6D"/>
    <w:rsid w:val="00573FFB"/>
    <w:rsid w:val="00576EFD"/>
    <w:rsid w:val="00576F73"/>
    <w:rsid w:val="00577C63"/>
    <w:rsid w:val="00577C71"/>
    <w:rsid w:val="00577CF1"/>
    <w:rsid w:val="005802B7"/>
    <w:rsid w:val="00580EBD"/>
    <w:rsid w:val="00584653"/>
    <w:rsid w:val="005849C0"/>
    <w:rsid w:val="00587B54"/>
    <w:rsid w:val="00590C67"/>
    <w:rsid w:val="00591A6A"/>
    <w:rsid w:val="00591B1F"/>
    <w:rsid w:val="00593782"/>
    <w:rsid w:val="00597C8A"/>
    <w:rsid w:val="005A0F7D"/>
    <w:rsid w:val="005A217B"/>
    <w:rsid w:val="005A3543"/>
    <w:rsid w:val="005A6FBA"/>
    <w:rsid w:val="005B01F6"/>
    <w:rsid w:val="005B040D"/>
    <w:rsid w:val="005B25AF"/>
    <w:rsid w:val="005B273F"/>
    <w:rsid w:val="005B573A"/>
    <w:rsid w:val="005B6F12"/>
    <w:rsid w:val="005B70BD"/>
    <w:rsid w:val="005B7BC5"/>
    <w:rsid w:val="005C03CA"/>
    <w:rsid w:val="005C05A6"/>
    <w:rsid w:val="005C0C11"/>
    <w:rsid w:val="005C1470"/>
    <w:rsid w:val="005C1E45"/>
    <w:rsid w:val="005C2A93"/>
    <w:rsid w:val="005C33C9"/>
    <w:rsid w:val="005C34A2"/>
    <w:rsid w:val="005C53D3"/>
    <w:rsid w:val="005C57B5"/>
    <w:rsid w:val="005C5AFB"/>
    <w:rsid w:val="005C7DD8"/>
    <w:rsid w:val="005D0133"/>
    <w:rsid w:val="005D14EF"/>
    <w:rsid w:val="005D2AF6"/>
    <w:rsid w:val="005D4043"/>
    <w:rsid w:val="005D710F"/>
    <w:rsid w:val="005E051F"/>
    <w:rsid w:val="005E1910"/>
    <w:rsid w:val="005E2B27"/>
    <w:rsid w:val="005E3C65"/>
    <w:rsid w:val="005E4170"/>
    <w:rsid w:val="005E43B8"/>
    <w:rsid w:val="005E4CBE"/>
    <w:rsid w:val="005E6641"/>
    <w:rsid w:val="005E6822"/>
    <w:rsid w:val="005F034F"/>
    <w:rsid w:val="005F102E"/>
    <w:rsid w:val="005F1660"/>
    <w:rsid w:val="005F1CF2"/>
    <w:rsid w:val="005F43AE"/>
    <w:rsid w:val="005F4A82"/>
    <w:rsid w:val="005F4D2D"/>
    <w:rsid w:val="00600A92"/>
    <w:rsid w:val="006033A6"/>
    <w:rsid w:val="00604FF0"/>
    <w:rsid w:val="006066C8"/>
    <w:rsid w:val="00606E35"/>
    <w:rsid w:val="0061358F"/>
    <w:rsid w:val="006141E2"/>
    <w:rsid w:val="006144A4"/>
    <w:rsid w:val="00614DCE"/>
    <w:rsid w:val="00615774"/>
    <w:rsid w:val="00615E77"/>
    <w:rsid w:val="00624F08"/>
    <w:rsid w:val="006250D1"/>
    <w:rsid w:val="00626CF7"/>
    <w:rsid w:val="0063020A"/>
    <w:rsid w:val="006305E6"/>
    <w:rsid w:val="0063238A"/>
    <w:rsid w:val="00633397"/>
    <w:rsid w:val="00634810"/>
    <w:rsid w:val="00640200"/>
    <w:rsid w:val="006402BC"/>
    <w:rsid w:val="00640D70"/>
    <w:rsid w:val="00641DCE"/>
    <w:rsid w:val="00643A5A"/>
    <w:rsid w:val="006440FB"/>
    <w:rsid w:val="00644827"/>
    <w:rsid w:val="00645C4B"/>
    <w:rsid w:val="00646947"/>
    <w:rsid w:val="00646A01"/>
    <w:rsid w:val="00647027"/>
    <w:rsid w:val="00647D77"/>
    <w:rsid w:val="00652724"/>
    <w:rsid w:val="00654BB5"/>
    <w:rsid w:val="006558D9"/>
    <w:rsid w:val="006608F0"/>
    <w:rsid w:val="00661EF6"/>
    <w:rsid w:val="00662FC9"/>
    <w:rsid w:val="0066383F"/>
    <w:rsid w:val="00665932"/>
    <w:rsid w:val="00666149"/>
    <w:rsid w:val="006700CD"/>
    <w:rsid w:val="00671A11"/>
    <w:rsid w:val="006747DF"/>
    <w:rsid w:val="00674E8C"/>
    <w:rsid w:val="00675B4E"/>
    <w:rsid w:val="006805B8"/>
    <w:rsid w:val="006805E4"/>
    <w:rsid w:val="0068188E"/>
    <w:rsid w:val="00681B88"/>
    <w:rsid w:val="0068370B"/>
    <w:rsid w:val="00683964"/>
    <w:rsid w:val="00685097"/>
    <w:rsid w:val="00685794"/>
    <w:rsid w:val="006871EA"/>
    <w:rsid w:val="006879D5"/>
    <w:rsid w:val="00687BEC"/>
    <w:rsid w:val="00687F51"/>
    <w:rsid w:val="00691F5B"/>
    <w:rsid w:val="006927C2"/>
    <w:rsid w:val="00693D30"/>
    <w:rsid w:val="006974F0"/>
    <w:rsid w:val="006978AE"/>
    <w:rsid w:val="006A298A"/>
    <w:rsid w:val="006A2F94"/>
    <w:rsid w:val="006A36D4"/>
    <w:rsid w:val="006A402E"/>
    <w:rsid w:val="006A4084"/>
    <w:rsid w:val="006A53C9"/>
    <w:rsid w:val="006B0D59"/>
    <w:rsid w:val="006B22D8"/>
    <w:rsid w:val="006B3717"/>
    <w:rsid w:val="006B402A"/>
    <w:rsid w:val="006C1204"/>
    <w:rsid w:val="006C226C"/>
    <w:rsid w:val="006C42C0"/>
    <w:rsid w:val="006C576E"/>
    <w:rsid w:val="006C758D"/>
    <w:rsid w:val="006C7FD1"/>
    <w:rsid w:val="006D0153"/>
    <w:rsid w:val="006D1327"/>
    <w:rsid w:val="006D2032"/>
    <w:rsid w:val="006D409C"/>
    <w:rsid w:val="006D5623"/>
    <w:rsid w:val="006D66B6"/>
    <w:rsid w:val="006D67AD"/>
    <w:rsid w:val="006D7769"/>
    <w:rsid w:val="006E299A"/>
    <w:rsid w:val="006E3B0B"/>
    <w:rsid w:val="006E49C9"/>
    <w:rsid w:val="006F2FD9"/>
    <w:rsid w:val="006F68F3"/>
    <w:rsid w:val="006F7259"/>
    <w:rsid w:val="00702041"/>
    <w:rsid w:val="00704397"/>
    <w:rsid w:val="0070672F"/>
    <w:rsid w:val="00710160"/>
    <w:rsid w:val="007102E2"/>
    <w:rsid w:val="00712D65"/>
    <w:rsid w:val="00715243"/>
    <w:rsid w:val="007170C4"/>
    <w:rsid w:val="007222C0"/>
    <w:rsid w:val="00725484"/>
    <w:rsid w:val="00731F0A"/>
    <w:rsid w:val="00731F4C"/>
    <w:rsid w:val="00737CFB"/>
    <w:rsid w:val="007402FA"/>
    <w:rsid w:val="007438E8"/>
    <w:rsid w:val="00744A1D"/>
    <w:rsid w:val="0074552D"/>
    <w:rsid w:val="00750F17"/>
    <w:rsid w:val="007549DF"/>
    <w:rsid w:val="007568BB"/>
    <w:rsid w:val="007617BA"/>
    <w:rsid w:val="007624A3"/>
    <w:rsid w:val="00763A14"/>
    <w:rsid w:val="0076589B"/>
    <w:rsid w:val="00766015"/>
    <w:rsid w:val="007660EB"/>
    <w:rsid w:val="00770959"/>
    <w:rsid w:val="00770E13"/>
    <w:rsid w:val="007735B8"/>
    <w:rsid w:val="0077636A"/>
    <w:rsid w:val="00776C52"/>
    <w:rsid w:val="00782200"/>
    <w:rsid w:val="00782526"/>
    <w:rsid w:val="00783AEF"/>
    <w:rsid w:val="007856C9"/>
    <w:rsid w:val="00785747"/>
    <w:rsid w:val="00786151"/>
    <w:rsid w:val="00786D4B"/>
    <w:rsid w:val="007876B0"/>
    <w:rsid w:val="00790329"/>
    <w:rsid w:val="00791B4B"/>
    <w:rsid w:val="00792BAC"/>
    <w:rsid w:val="0079505A"/>
    <w:rsid w:val="00795A30"/>
    <w:rsid w:val="007A1632"/>
    <w:rsid w:val="007A1799"/>
    <w:rsid w:val="007A1C32"/>
    <w:rsid w:val="007A2F8B"/>
    <w:rsid w:val="007A3740"/>
    <w:rsid w:val="007A503A"/>
    <w:rsid w:val="007A68DE"/>
    <w:rsid w:val="007A7E51"/>
    <w:rsid w:val="007B22BF"/>
    <w:rsid w:val="007B2BE6"/>
    <w:rsid w:val="007B583E"/>
    <w:rsid w:val="007C0695"/>
    <w:rsid w:val="007C7064"/>
    <w:rsid w:val="007D1351"/>
    <w:rsid w:val="007D2335"/>
    <w:rsid w:val="007D2D2A"/>
    <w:rsid w:val="007D30B1"/>
    <w:rsid w:val="007D39F8"/>
    <w:rsid w:val="007D4563"/>
    <w:rsid w:val="007D464A"/>
    <w:rsid w:val="007E1683"/>
    <w:rsid w:val="007E25A3"/>
    <w:rsid w:val="007E270F"/>
    <w:rsid w:val="007E3256"/>
    <w:rsid w:val="007E32D6"/>
    <w:rsid w:val="007E3BC9"/>
    <w:rsid w:val="007E3F77"/>
    <w:rsid w:val="007E5857"/>
    <w:rsid w:val="007F0AB4"/>
    <w:rsid w:val="007F0B57"/>
    <w:rsid w:val="007F17FC"/>
    <w:rsid w:val="007F1D8D"/>
    <w:rsid w:val="007F1DC0"/>
    <w:rsid w:val="007F3EF0"/>
    <w:rsid w:val="00801084"/>
    <w:rsid w:val="0080135F"/>
    <w:rsid w:val="00803A14"/>
    <w:rsid w:val="00803F71"/>
    <w:rsid w:val="008068F1"/>
    <w:rsid w:val="0080691F"/>
    <w:rsid w:val="00807C66"/>
    <w:rsid w:val="0081077A"/>
    <w:rsid w:val="00810791"/>
    <w:rsid w:val="00810F2D"/>
    <w:rsid w:val="00811248"/>
    <w:rsid w:val="00811A99"/>
    <w:rsid w:val="00812AA4"/>
    <w:rsid w:val="0081546E"/>
    <w:rsid w:val="00815E83"/>
    <w:rsid w:val="00817598"/>
    <w:rsid w:val="00820118"/>
    <w:rsid w:val="00820A43"/>
    <w:rsid w:val="008212BD"/>
    <w:rsid w:val="0082277A"/>
    <w:rsid w:val="00825245"/>
    <w:rsid w:val="00827008"/>
    <w:rsid w:val="00827C93"/>
    <w:rsid w:val="008301CA"/>
    <w:rsid w:val="008302B9"/>
    <w:rsid w:val="008305FB"/>
    <w:rsid w:val="008318C5"/>
    <w:rsid w:val="00831F46"/>
    <w:rsid w:val="008331A9"/>
    <w:rsid w:val="00835B38"/>
    <w:rsid w:val="00837572"/>
    <w:rsid w:val="008407C6"/>
    <w:rsid w:val="00841003"/>
    <w:rsid w:val="00842B3A"/>
    <w:rsid w:val="00846880"/>
    <w:rsid w:val="00856187"/>
    <w:rsid w:val="00857974"/>
    <w:rsid w:val="0086049B"/>
    <w:rsid w:val="00861644"/>
    <w:rsid w:val="0086164A"/>
    <w:rsid w:val="00862990"/>
    <w:rsid w:val="00862E3F"/>
    <w:rsid w:val="008645AB"/>
    <w:rsid w:val="008668F0"/>
    <w:rsid w:val="00866911"/>
    <w:rsid w:val="00870AC9"/>
    <w:rsid w:val="00871F9D"/>
    <w:rsid w:val="00873D3A"/>
    <w:rsid w:val="008842CB"/>
    <w:rsid w:val="0088733A"/>
    <w:rsid w:val="008879BC"/>
    <w:rsid w:val="00890B60"/>
    <w:rsid w:val="0089360C"/>
    <w:rsid w:val="0089630D"/>
    <w:rsid w:val="008A25F0"/>
    <w:rsid w:val="008A2E9E"/>
    <w:rsid w:val="008A61B2"/>
    <w:rsid w:val="008A75FA"/>
    <w:rsid w:val="008A7BFD"/>
    <w:rsid w:val="008B287C"/>
    <w:rsid w:val="008B7048"/>
    <w:rsid w:val="008B7C72"/>
    <w:rsid w:val="008C0010"/>
    <w:rsid w:val="008C453A"/>
    <w:rsid w:val="008C4B41"/>
    <w:rsid w:val="008C60E6"/>
    <w:rsid w:val="008D0072"/>
    <w:rsid w:val="008D17A8"/>
    <w:rsid w:val="008D347B"/>
    <w:rsid w:val="008D3716"/>
    <w:rsid w:val="008D5692"/>
    <w:rsid w:val="008D5774"/>
    <w:rsid w:val="008D60EC"/>
    <w:rsid w:val="008E1B66"/>
    <w:rsid w:val="008E28DA"/>
    <w:rsid w:val="008E6AAD"/>
    <w:rsid w:val="008E7F2E"/>
    <w:rsid w:val="008F4672"/>
    <w:rsid w:val="008F5359"/>
    <w:rsid w:val="008F71FB"/>
    <w:rsid w:val="00903406"/>
    <w:rsid w:val="009056F2"/>
    <w:rsid w:val="00905B05"/>
    <w:rsid w:val="00906612"/>
    <w:rsid w:val="0091051C"/>
    <w:rsid w:val="00914425"/>
    <w:rsid w:val="0091573C"/>
    <w:rsid w:val="009158A3"/>
    <w:rsid w:val="00922631"/>
    <w:rsid w:val="00923DE4"/>
    <w:rsid w:val="009241F3"/>
    <w:rsid w:val="009243D1"/>
    <w:rsid w:val="009254C8"/>
    <w:rsid w:val="00925588"/>
    <w:rsid w:val="00926985"/>
    <w:rsid w:val="009277AB"/>
    <w:rsid w:val="00930D43"/>
    <w:rsid w:val="00934740"/>
    <w:rsid w:val="00936106"/>
    <w:rsid w:val="00937AD8"/>
    <w:rsid w:val="00942F87"/>
    <w:rsid w:val="009432BE"/>
    <w:rsid w:val="0094584B"/>
    <w:rsid w:val="009478AD"/>
    <w:rsid w:val="00950CA4"/>
    <w:rsid w:val="00951115"/>
    <w:rsid w:val="009519CD"/>
    <w:rsid w:val="009543C6"/>
    <w:rsid w:val="009551B0"/>
    <w:rsid w:val="009569B5"/>
    <w:rsid w:val="00957415"/>
    <w:rsid w:val="0095787A"/>
    <w:rsid w:val="009614DE"/>
    <w:rsid w:val="00961919"/>
    <w:rsid w:val="0096237A"/>
    <w:rsid w:val="009640F4"/>
    <w:rsid w:val="009664F0"/>
    <w:rsid w:val="00971423"/>
    <w:rsid w:val="009727BB"/>
    <w:rsid w:val="00980781"/>
    <w:rsid w:val="00981811"/>
    <w:rsid w:val="009820DA"/>
    <w:rsid w:val="009829FA"/>
    <w:rsid w:val="00985DB2"/>
    <w:rsid w:val="009879CE"/>
    <w:rsid w:val="00990DA2"/>
    <w:rsid w:val="00992A1E"/>
    <w:rsid w:val="00993F10"/>
    <w:rsid w:val="009941D6"/>
    <w:rsid w:val="00994A55"/>
    <w:rsid w:val="00995999"/>
    <w:rsid w:val="00996637"/>
    <w:rsid w:val="009A00D1"/>
    <w:rsid w:val="009A28DF"/>
    <w:rsid w:val="009A2C5A"/>
    <w:rsid w:val="009A3E51"/>
    <w:rsid w:val="009A46E2"/>
    <w:rsid w:val="009A59B1"/>
    <w:rsid w:val="009B02F9"/>
    <w:rsid w:val="009B0BF9"/>
    <w:rsid w:val="009B0DB9"/>
    <w:rsid w:val="009B1FDF"/>
    <w:rsid w:val="009B2ABE"/>
    <w:rsid w:val="009B3AEB"/>
    <w:rsid w:val="009B3B7A"/>
    <w:rsid w:val="009B63E1"/>
    <w:rsid w:val="009B65DC"/>
    <w:rsid w:val="009C244C"/>
    <w:rsid w:val="009C6061"/>
    <w:rsid w:val="009C6443"/>
    <w:rsid w:val="009D087D"/>
    <w:rsid w:val="009D1B54"/>
    <w:rsid w:val="009D2C32"/>
    <w:rsid w:val="009D5B7E"/>
    <w:rsid w:val="009D61EF"/>
    <w:rsid w:val="009E320F"/>
    <w:rsid w:val="009E3382"/>
    <w:rsid w:val="009E6A26"/>
    <w:rsid w:val="009F12BC"/>
    <w:rsid w:val="009F15FD"/>
    <w:rsid w:val="009F18B2"/>
    <w:rsid w:val="009F224B"/>
    <w:rsid w:val="009F283A"/>
    <w:rsid w:val="009F40CD"/>
    <w:rsid w:val="009F4501"/>
    <w:rsid w:val="009F7132"/>
    <w:rsid w:val="009F767B"/>
    <w:rsid w:val="009F76AF"/>
    <w:rsid w:val="00A01683"/>
    <w:rsid w:val="00A0214E"/>
    <w:rsid w:val="00A03E16"/>
    <w:rsid w:val="00A059CA"/>
    <w:rsid w:val="00A1128A"/>
    <w:rsid w:val="00A11CA4"/>
    <w:rsid w:val="00A121C1"/>
    <w:rsid w:val="00A12D71"/>
    <w:rsid w:val="00A131F3"/>
    <w:rsid w:val="00A13A43"/>
    <w:rsid w:val="00A14692"/>
    <w:rsid w:val="00A14D7F"/>
    <w:rsid w:val="00A167D7"/>
    <w:rsid w:val="00A16D18"/>
    <w:rsid w:val="00A16E74"/>
    <w:rsid w:val="00A17C54"/>
    <w:rsid w:val="00A20D54"/>
    <w:rsid w:val="00A20EFD"/>
    <w:rsid w:val="00A2123D"/>
    <w:rsid w:val="00A21697"/>
    <w:rsid w:val="00A2197F"/>
    <w:rsid w:val="00A26555"/>
    <w:rsid w:val="00A26A0D"/>
    <w:rsid w:val="00A275C9"/>
    <w:rsid w:val="00A30061"/>
    <w:rsid w:val="00A3180C"/>
    <w:rsid w:val="00A335C7"/>
    <w:rsid w:val="00A33FF2"/>
    <w:rsid w:val="00A34E16"/>
    <w:rsid w:val="00A3567B"/>
    <w:rsid w:val="00A36A67"/>
    <w:rsid w:val="00A4022F"/>
    <w:rsid w:val="00A406D5"/>
    <w:rsid w:val="00A407BE"/>
    <w:rsid w:val="00A409BA"/>
    <w:rsid w:val="00A41FBF"/>
    <w:rsid w:val="00A4270A"/>
    <w:rsid w:val="00A46281"/>
    <w:rsid w:val="00A46B90"/>
    <w:rsid w:val="00A55476"/>
    <w:rsid w:val="00A57530"/>
    <w:rsid w:val="00A60156"/>
    <w:rsid w:val="00A619CB"/>
    <w:rsid w:val="00A61A02"/>
    <w:rsid w:val="00A631A0"/>
    <w:rsid w:val="00A65B61"/>
    <w:rsid w:val="00A73BE8"/>
    <w:rsid w:val="00A75214"/>
    <w:rsid w:val="00A77226"/>
    <w:rsid w:val="00A77B88"/>
    <w:rsid w:val="00A83A8E"/>
    <w:rsid w:val="00A83B18"/>
    <w:rsid w:val="00A83C41"/>
    <w:rsid w:val="00A84322"/>
    <w:rsid w:val="00A85F1A"/>
    <w:rsid w:val="00A860C9"/>
    <w:rsid w:val="00A86619"/>
    <w:rsid w:val="00A87610"/>
    <w:rsid w:val="00A92AA2"/>
    <w:rsid w:val="00A95CBD"/>
    <w:rsid w:val="00A96EE8"/>
    <w:rsid w:val="00A97E12"/>
    <w:rsid w:val="00AA3927"/>
    <w:rsid w:val="00AA3A93"/>
    <w:rsid w:val="00AA3FF5"/>
    <w:rsid w:val="00AA489A"/>
    <w:rsid w:val="00AA5264"/>
    <w:rsid w:val="00AA5973"/>
    <w:rsid w:val="00AA6653"/>
    <w:rsid w:val="00AA7816"/>
    <w:rsid w:val="00AA7A96"/>
    <w:rsid w:val="00AB0380"/>
    <w:rsid w:val="00AB3526"/>
    <w:rsid w:val="00AB5ED0"/>
    <w:rsid w:val="00AC1208"/>
    <w:rsid w:val="00AC1ACE"/>
    <w:rsid w:val="00AC289D"/>
    <w:rsid w:val="00AC5D21"/>
    <w:rsid w:val="00AC5E6F"/>
    <w:rsid w:val="00AC6090"/>
    <w:rsid w:val="00AD0D8D"/>
    <w:rsid w:val="00AD170F"/>
    <w:rsid w:val="00AD1EE2"/>
    <w:rsid w:val="00AE23AC"/>
    <w:rsid w:val="00AE27DB"/>
    <w:rsid w:val="00AE27E1"/>
    <w:rsid w:val="00AE3CAB"/>
    <w:rsid w:val="00AE3CE0"/>
    <w:rsid w:val="00AE475E"/>
    <w:rsid w:val="00AE4992"/>
    <w:rsid w:val="00AE6189"/>
    <w:rsid w:val="00AE733F"/>
    <w:rsid w:val="00AE765A"/>
    <w:rsid w:val="00AF1F7D"/>
    <w:rsid w:val="00AF3BC8"/>
    <w:rsid w:val="00AF584B"/>
    <w:rsid w:val="00AF6158"/>
    <w:rsid w:val="00AF688E"/>
    <w:rsid w:val="00B00579"/>
    <w:rsid w:val="00B0216C"/>
    <w:rsid w:val="00B02AF1"/>
    <w:rsid w:val="00B0772E"/>
    <w:rsid w:val="00B1040E"/>
    <w:rsid w:val="00B10976"/>
    <w:rsid w:val="00B127BD"/>
    <w:rsid w:val="00B13D46"/>
    <w:rsid w:val="00B1573B"/>
    <w:rsid w:val="00B202FE"/>
    <w:rsid w:val="00B2362C"/>
    <w:rsid w:val="00B24636"/>
    <w:rsid w:val="00B306E7"/>
    <w:rsid w:val="00B3115C"/>
    <w:rsid w:val="00B314B0"/>
    <w:rsid w:val="00B34F39"/>
    <w:rsid w:val="00B3593E"/>
    <w:rsid w:val="00B35C74"/>
    <w:rsid w:val="00B36A6E"/>
    <w:rsid w:val="00B44239"/>
    <w:rsid w:val="00B4580D"/>
    <w:rsid w:val="00B51B99"/>
    <w:rsid w:val="00B53716"/>
    <w:rsid w:val="00B54205"/>
    <w:rsid w:val="00B558CA"/>
    <w:rsid w:val="00B56CC6"/>
    <w:rsid w:val="00B61D17"/>
    <w:rsid w:val="00B64B1A"/>
    <w:rsid w:val="00B6559F"/>
    <w:rsid w:val="00B65E54"/>
    <w:rsid w:val="00B66096"/>
    <w:rsid w:val="00B7237D"/>
    <w:rsid w:val="00B73B3C"/>
    <w:rsid w:val="00B76A73"/>
    <w:rsid w:val="00B832D4"/>
    <w:rsid w:val="00B83CCE"/>
    <w:rsid w:val="00B863CC"/>
    <w:rsid w:val="00B9061D"/>
    <w:rsid w:val="00B9151B"/>
    <w:rsid w:val="00B92318"/>
    <w:rsid w:val="00B925CE"/>
    <w:rsid w:val="00B95398"/>
    <w:rsid w:val="00B953F6"/>
    <w:rsid w:val="00BA66CD"/>
    <w:rsid w:val="00BA7DB0"/>
    <w:rsid w:val="00BB0B26"/>
    <w:rsid w:val="00BB2D7A"/>
    <w:rsid w:val="00BB3595"/>
    <w:rsid w:val="00BB446C"/>
    <w:rsid w:val="00BB4605"/>
    <w:rsid w:val="00BB5BDE"/>
    <w:rsid w:val="00BB7FD3"/>
    <w:rsid w:val="00BC05FA"/>
    <w:rsid w:val="00BC14FD"/>
    <w:rsid w:val="00BC3086"/>
    <w:rsid w:val="00BC37BD"/>
    <w:rsid w:val="00BC5095"/>
    <w:rsid w:val="00BC5344"/>
    <w:rsid w:val="00BC60F0"/>
    <w:rsid w:val="00BD4290"/>
    <w:rsid w:val="00BD44F4"/>
    <w:rsid w:val="00BD65B3"/>
    <w:rsid w:val="00BD7B7D"/>
    <w:rsid w:val="00BE2C45"/>
    <w:rsid w:val="00BE4833"/>
    <w:rsid w:val="00BE5121"/>
    <w:rsid w:val="00BE5B22"/>
    <w:rsid w:val="00BE5BE8"/>
    <w:rsid w:val="00BE68E4"/>
    <w:rsid w:val="00BE710B"/>
    <w:rsid w:val="00BE7295"/>
    <w:rsid w:val="00BE7E4E"/>
    <w:rsid w:val="00BF53FF"/>
    <w:rsid w:val="00BF7E5C"/>
    <w:rsid w:val="00C01810"/>
    <w:rsid w:val="00C034B5"/>
    <w:rsid w:val="00C06943"/>
    <w:rsid w:val="00C07F73"/>
    <w:rsid w:val="00C10348"/>
    <w:rsid w:val="00C14626"/>
    <w:rsid w:val="00C17AC9"/>
    <w:rsid w:val="00C21283"/>
    <w:rsid w:val="00C22CC4"/>
    <w:rsid w:val="00C23D9E"/>
    <w:rsid w:val="00C30BE2"/>
    <w:rsid w:val="00C31B0A"/>
    <w:rsid w:val="00C32F86"/>
    <w:rsid w:val="00C35AD7"/>
    <w:rsid w:val="00C4008A"/>
    <w:rsid w:val="00C41133"/>
    <w:rsid w:val="00C42F1B"/>
    <w:rsid w:val="00C436B5"/>
    <w:rsid w:val="00C4422D"/>
    <w:rsid w:val="00C450AD"/>
    <w:rsid w:val="00C4677D"/>
    <w:rsid w:val="00C46B3B"/>
    <w:rsid w:val="00C47EDB"/>
    <w:rsid w:val="00C50F4F"/>
    <w:rsid w:val="00C51BE1"/>
    <w:rsid w:val="00C5505D"/>
    <w:rsid w:val="00C567AE"/>
    <w:rsid w:val="00C631B5"/>
    <w:rsid w:val="00C64682"/>
    <w:rsid w:val="00C6516C"/>
    <w:rsid w:val="00C66BCF"/>
    <w:rsid w:val="00C72759"/>
    <w:rsid w:val="00C741D2"/>
    <w:rsid w:val="00C75873"/>
    <w:rsid w:val="00C765D7"/>
    <w:rsid w:val="00C77583"/>
    <w:rsid w:val="00C77B66"/>
    <w:rsid w:val="00C85796"/>
    <w:rsid w:val="00C86732"/>
    <w:rsid w:val="00C86C73"/>
    <w:rsid w:val="00C872EA"/>
    <w:rsid w:val="00C87D62"/>
    <w:rsid w:val="00C95DD0"/>
    <w:rsid w:val="00C960D1"/>
    <w:rsid w:val="00C96693"/>
    <w:rsid w:val="00C976D8"/>
    <w:rsid w:val="00CA05F0"/>
    <w:rsid w:val="00CA07BC"/>
    <w:rsid w:val="00CA3B1D"/>
    <w:rsid w:val="00CB12A5"/>
    <w:rsid w:val="00CB3FDF"/>
    <w:rsid w:val="00CB4822"/>
    <w:rsid w:val="00CB6098"/>
    <w:rsid w:val="00CC34BE"/>
    <w:rsid w:val="00CC3BA8"/>
    <w:rsid w:val="00CC3DD7"/>
    <w:rsid w:val="00CC427A"/>
    <w:rsid w:val="00CC5983"/>
    <w:rsid w:val="00CC651A"/>
    <w:rsid w:val="00CC7BB7"/>
    <w:rsid w:val="00CD0332"/>
    <w:rsid w:val="00CD0E58"/>
    <w:rsid w:val="00CD414F"/>
    <w:rsid w:val="00CD4B32"/>
    <w:rsid w:val="00CD5E09"/>
    <w:rsid w:val="00CD648D"/>
    <w:rsid w:val="00CD785D"/>
    <w:rsid w:val="00CE1769"/>
    <w:rsid w:val="00CE2DE3"/>
    <w:rsid w:val="00CE3D9D"/>
    <w:rsid w:val="00CE42E3"/>
    <w:rsid w:val="00CE55BE"/>
    <w:rsid w:val="00CE6532"/>
    <w:rsid w:val="00CE7E31"/>
    <w:rsid w:val="00CF18EF"/>
    <w:rsid w:val="00CF2ADD"/>
    <w:rsid w:val="00CF41C1"/>
    <w:rsid w:val="00CF4947"/>
    <w:rsid w:val="00CF4D80"/>
    <w:rsid w:val="00CF5E36"/>
    <w:rsid w:val="00CF63EC"/>
    <w:rsid w:val="00CF7B55"/>
    <w:rsid w:val="00D03B40"/>
    <w:rsid w:val="00D05217"/>
    <w:rsid w:val="00D06104"/>
    <w:rsid w:val="00D100E8"/>
    <w:rsid w:val="00D1081F"/>
    <w:rsid w:val="00D11EBE"/>
    <w:rsid w:val="00D13281"/>
    <w:rsid w:val="00D16195"/>
    <w:rsid w:val="00D21454"/>
    <w:rsid w:val="00D2417E"/>
    <w:rsid w:val="00D31E64"/>
    <w:rsid w:val="00D31F70"/>
    <w:rsid w:val="00D3376B"/>
    <w:rsid w:val="00D34C37"/>
    <w:rsid w:val="00D360F0"/>
    <w:rsid w:val="00D36DEA"/>
    <w:rsid w:val="00D4447E"/>
    <w:rsid w:val="00D444E2"/>
    <w:rsid w:val="00D445B9"/>
    <w:rsid w:val="00D44B35"/>
    <w:rsid w:val="00D450C3"/>
    <w:rsid w:val="00D45A80"/>
    <w:rsid w:val="00D47D85"/>
    <w:rsid w:val="00D5144A"/>
    <w:rsid w:val="00D5575B"/>
    <w:rsid w:val="00D57D0D"/>
    <w:rsid w:val="00D62192"/>
    <w:rsid w:val="00D63DBD"/>
    <w:rsid w:val="00D63F6A"/>
    <w:rsid w:val="00D649F7"/>
    <w:rsid w:val="00D64D9B"/>
    <w:rsid w:val="00D6660D"/>
    <w:rsid w:val="00D71B2C"/>
    <w:rsid w:val="00D74368"/>
    <w:rsid w:val="00D764E0"/>
    <w:rsid w:val="00D76691"/>
    <w:rsid w:val="00D779A2"/>
    <w:rsid w:val="00D80040"/>
    <w:rsid w:val="00D822DA"/>
    <w:rsid w:val="00D83B35"/>
    <w:rsid w:val="00D85B05"/>
    <w:rsid w:val="00D8663C"/>
    <w:rsid w:val="00D87574"/>
    <w:rsid w:val="00D90713"/>
    <w:rsid w:val="00D90D60"/>
    <w:rsid w:val="00D91F07"/>
    <w:rsid w:val="00D9447B"/>
    <w:rsid w:val="00D969DA"/>
    <w:rsid w:val="00DA441D"/>
    <w:rsid w:val="00DA7333"/>
    <w:rsid w:val="00DB0B81"/>
    <w:rsid w:val="00DB1047"/>
    <w:rsid w:val="00DB22CB"/>
    <w:rsid w:val="00DB2A2D"/>
    <w:rsid w:val="00DB349C"/>
    <w:rsid w:val="00DB456F"/>
    <w:rsid w:val="00DB4F70"/>
    <w:rsid w:val="00DB52B7"/>
    <w:rsid w:val="00DB5426"/>
    <w:rsid w:val="00DB56EA"/>
    <w:rsid w:val="00DC1B1E"/>
    <w:rsid w:val="00DC1C04"/>
    <w:rsid w:val="00DC21DB"/>
    <w:rsid w:val="00DC2514"/>
    <w:rsid w:val="00DC4498"/>
    <w:rsid w:val="00DC5B59"/>
    <w:rsid w:val="00DC648C"/>
    <w:rsid w:val="00DC73C4"/>
    <w:rsid w:val="00DC7ACC"/>
    <w:rsid w:val="00DC7E4E"/>
    <w:rsid w:val="00DC7F5B"/>
    <w:rsid w:val="00DD2318"/>
    <w:rsid w:val="00DD2C5E"/>
    <w:rsid w:val="00DD3A78"/>
    <w:rsid w:val="00DD4BAC"/>
    <w:rsid w:val="00DD5161"/>
    <w:rsid w:val="00DD635B"/>
    <w:rsid w:val="00DD7E7F"/>
    <w:rsid w:val="00DE011F"/>
    <w:rsid w:val="00DE0907"/>
    <w:rsid w:val="00DE097F"/>
    <w:rsid w:val="00DE0D93"/>
    <w:rsid w:val="00DE31BB"/>
    <w:rsid w:val="00DE4291"/>
    <w:rsid w:val="00DE5263"/>
    <w:rsid w:val="00DE6C8F"/>
    <w:rsid w:val="00DF0695"/>
    <w:rsid w:val="00DF21D0"/>
    <w:rsid w:val="00DF2E06"/>
    <w:rsid w:val="00DF4486"/>
    <w:rsid w:val="00DF4AE4"/>
    <w:rsid w:val="00DF4BEE"/>
    <w:rsid w:val="00DF4C55"/>
    <w:rsid w:val="00E000ED"/>
    <w:rsid w:val="00E00EF6"/>
    <w:rsid w:val="00E054F6"/>
    <w:rsid w:val="00E0749B"/>
    <w:rsid w:val="00E12528"/>
    <w:rsid w:val="00E13333"/>
    <w:rsid w:val="00E14CD5"/>
    <w:rsid w:val="00E16E56"/>
    <w:rsid w:val="00E218C0"/>
    <w:rsid w:val="00E22162"/>
    <w:rsid w:val="00E22311"/>
    <w:rsid w:val="00E23A49"/>
    <w:rsid w:val="00E2507A"/>
    <w:rsid w:val="00E25A44"/>
    <w:rsid w:val="00E265C5"/>
    <w:rsid w:val="00E26D16"/>
    <w:rsid w:val="00E26D2B"/>
    <w:rsid w:val="00E272FC"/>
    <w:rsid w:val="00E27545"/>
    <w:rsid w:val="00E27625"/>
    <w:rsid w:val="00E307A6"/>
    <w:rsid w:val="00E33BF8"/>
    <w:rsid w:val="00E35193"/>
    <w:rsid w:val="00E357FE"/>
    <w:rsid w:val="00E36919"/>
    <w:rsid w:val="00E36FF6"/>
    <w:rsid w:val="00E41A19"/>
    <w:rsid w:val="00E5060D"/>
    <w:rsid w:val="00E51698"/>
    <w:rsid w:val="00E53E0F"/>
    <w:rsid w:val="00E62D74"/>
    <w:rsid w:val="00E656DC"/>
    <w:rsid w:val="00E6719A"/>
    <w:rsid w:val="00E6758A"/>
    <w:rsid w:val="00E67EFF"/>
    <w:rsid w:val="00E722E0"/>
    <w:rsid w:val="00E7294E"/>
    <w:rsid w:val="00E73C3B"/>
    <w:rsid w:val="00E74AB2"/>
    <w:rsid w:val="00E75B38"/>
    <w:rsid w:val="00E75C2E"/>
    <w:rsid w:val="00E765A3"/>
    <w:rsid w:val="00E76BF1"/>
    <w:rsid w:val="00E77CE0"/>
    <w:rsid w:val="00E80D00"/>
    <w:rsid w:val="00E8607C"/>
    <w:rsid w:val="00E862BC"/>
    <w:rsid w:val="00E87B52"/>
    <w:rsid w:val="00E9081E"/>
    <w:rsid w:val="00E90DA7"/>
    <w:rsid w:val="00E91EE1"/>
    <w:rsid w:val="00E93E3E"/>
    <w:rsid w:val="00E956CE"/>
    <w:rsid w:val="00E96784"/>
    <w:rsid w:val="00E96D69"/>
    <w:rsid w:val="00EA0D72"/>
    <w:rsid w:val="00EA4712"/>
    <w:rsid w:val="00EA567A"/>
    <w:rsid w:val="00EA5C2E"/>
    <w:rsid w:val="00EA695B"/>
    <w:rsid w:val="00EA6E60"/>
    <w:rsid w:val="00EB3CDF"/>
    <w:rsid w:val="00EB49BF"/>
    <w:rsid w:val="00EB4D00"/>
    <w:rsid w:val="00EB69FC"/>
    <w:rsid w:val="00EC27E2"/>
    <w:rsid w:val="00EC2CEF"/>
    <w:rsid w:val="00EC6787"/>
    <w:rsid w:val="00EC6C61"/>
    <w:rsid w:val="00EC777D"/>
    <w:rsid w:val="00EC7B6F"/>
    <w:rsid w:val="00ED05E7"/>
    <w:rsid w:val="00ED080A"/>
    <w:rsid w:val="00ED2B92"/>
    <w:rsid w:val="00ED3C09"/>
    <w:rsid w:val="00ED440A"/>
    <w:rsid w:val="00ED541B"/>
    <w:rsid w:val="00ED58FA"/>
    <w:rsid w:val="00ED747A"/>
    <w:rsid w:val="00EE0414"/>
    <w:rsid w:val="00EE091A"/>
    <w:rsid w:val="00EE2FB9"/>
    <w:rsid w:val="00EE3FA6"/>
    <w:rsid w:val="00EE4996"/>
    <w:rsid w:val="00EE77FB"/>
    <w:rsid w:val="00EF449B"/>
    <w:rsid w:val="00EF565F"/>
    <w:rsid w:val="00EF64C6"/>
    <w:rsid w:val="00F010F5"/>
    <w:rsid w:val="00F017F6"/>
    <w:rsid w:val="00F033D4"/>
    <w:rsid w:val="00F0622B"/>
    <w:rsid w:val="00F0651C"/>
    <w:rsid w:val="00F06B62"/>
    <w:rsid w:val="00F0702D"/>
    <w:rsid w:val="00F111C6"/>
    <w:rsid w:val="00F11367"/>
    <w:rsid w:val="00F11C5D"/>
    <w:rsid w:val="00F121F6"/>
    <w:rsid w:val="00F12F8D"/>
    <w:rsid w:val="00F14CE9"/>
    <w:rsid w:val="00F16974"/>
    <w:rsid w:val="00F16C79"/>
    <w:rsid w:val="00F170CE"/>
    <w:rsid w:val="00F17450"/>
    <w:rsid w:val="00F215C5"/>
    <w:rsid w:val="00F320C0"/>
    <w:rsid w:val="00F33A95"/>
    <w:rsid w:val="00F35257"/>
    <w:rsid w:val="00F35511"/>
    <w:rsid w:val="00F36FA3"/>
    <w:rsid w:val="00F3716F"/>
    <w:rsid w:val="00F37975"/>
    <w:rsid w:val="00F40152"/>
    <w:rsid w:val="00F41156"/>
    <w:rsid w:val="00F41EEB"/>
    <w:rsid w:val="00F44122"/>
    <w:rsid w:val="00F46BCA"/>
    <w:rsid w:val="00F471FB"/>
    <w:rsid w:val="00F47301"/>
    <w:rsid w:val="00F50B83"/>
    <w:rsid w:val="00F51846"/>
    <w:rsid w:val="00F52AF2"/>
    <w:rsid w:val="00F52D31"/>
    <w:rsid w:val="00F54A23"/>
    <w:rsid w:val="00F55CCF"/>
    <w:rsid w:val="00F55CF9"/>
    <w:rsid w:val="00F566A9"/>
    <w:rsid w:val="00F6054A"/>
    <w:rsid w:val="00F606DA"/>
    <w:rsid w:val="00F60B6A"/>
    <w:rsid w:val="00F60FCB"/>
    <w:rsid w:val="00F61188"/>
    <w:rsid w:val="00F62909"/>
    <w:rsid w:val="00F63DD2"/>
    <w:rsid w:val="00F64B7B"/>
    <w:rsid w:val="00F652A3"/>
    <w:rsid w:val="00F652D4"/>
    <w:rsid w:val="00F70E7B"/>
    <w:rsid w:val="00F712C0"/>
    <w:rsid w:val="00F7143B"/>
    <w:rsid w:val="00F720DE"/>
    <w:rsid w:val="00F74630"/>
    <w:rsid w:val="00F746A9"/>
    <w:rsid w:val="00F76564"/>
    <w:rsid w:val="00F80B37"/>
    <w:rsid w:val="00F85048"/>
    <w:rsid w:val="00F8554A"/>
    <w:rsid w:val="00F858EC"/>
    <w:rsid w:val="00F86DF8"/>
    <w:rsid w:val="00F87F88"/>
    <w:rsid w:val="00F90403"/>
    <w:rsid w:val="00F933D9"/>
    <w:rsid w:val="00F9453F"/>
    <w:rsid w:val="00F9465C"/>
    <w:rsid w:val="00FA0D07"/>
    <w:rsid w:val="00FA2F61"/>
    <w:rsid w:val="00FA5BD0"/>
    <w:rsid w:val="00FA6B0E"/>
    <w:rsid w:val="00FA720F"/>
    <w:rsid w:val="00FB19C3"/>
    <w:rsid w:val="00FB1DD1"/>
    <w:rsid w:val="00FB1EC3"/>
    <w:rsid w:val="00FB43D5"/>
    <w:rsid w:val="00FB4DB8"/>
    <w:rsid w:val="00FB52A7"/>
    <w:rsid w:val="00FB5F98"/>
    <w:rsid w:val="00FB63C4"/>
    <w:rsid w:val="00FB67C9"/>
    <w:rsid w:val="00FC1643"/>
    <w:rsid w:val="00FC31F0"/>
    <w:rsid w:val="00FC416A"/>
    <w:rsid w:val="00FC5D6B"/>
    <w:rsid w:val="00FC66BC"/>
    <w:rsid w:val="00FD0ACC"/>
    <w:rsid w:val="00FD43FF"/>
    <w:rsid w:val="00FD4D91"/>
    <w:rsid w:val="00FE1BE8"/>
    <w:rsid w:val="00FE1CF6"/>
    <w:rsid w:val="00FE264A"/>
    <w:rsid w:val="00FE2AF7"/>
    <w:rsid w:val="00FE3F25"/>
    <w:rsid w:val="00FE6502"/>
    <w:rsid w:val="00FE6E28"/>
    <w:rsid w:val="00FF192D"/>
    <w:rsid w:val="00FF2697"/>
    <w:rsid w:val="00FF3776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1C6E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11C6E"/>
    <w:pPr>
      <w:keepNext/>
      <w:numPr>
        <w:numId w:val="1"/>
      </w:numPr>
      <w:spacing w:line="360" w:lineRule="auto"/>
      <w:jc w:val="both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011C6E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011C6E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rsid w:val="00011C6E"/>
    <w:pPr>
      <w:keepNext/>
      <w:numPr>
        <w:ilvl w:val="3"/>
        <w:numId w:val="1"/>
      </w:numPr>
      <w:jc w:val="both"/>
      <w:outlineLvl w:val="3"/>
    </w:pPr>
    <w:rPr>
      <w:b/>
      <w:bCs/>
      <w:i/>
      <w:iCs/>
      <w:sz w:val="20"/>
    </w:rPr>
  </w:style>
  <w:style w:type="paragraph" w:styleId="Nadpis5">
    <w:name w:val="heading 5"/>
    <w:basedOn w:val="Normln"/>
    <w:next w:val="Normln"/>
    <w:qFormat/>
    <w:rsid w:val="00011C6E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011C6E"/>
    <w:pPr>
      <w:keepNext/>
      <w:numPr>
        <w:ilvl w:val="5"/>
        <w:numId w:val="1"/>
      </w:numPr>
      <w:spacing w:line="360" w:lineRule="auto"/>
      <w:jc w:val="both"/>
      <w:outlineLvl w:val="5"/>
    </w:pPr>
    <w:rPr>
      <w:rFonts w:cs="Arial"/>
      <w:b/>
      <w:bCs/>
      <w:sz w:val="36"/>
      <w:szCs w:val="24"/>
    </w:rPr>
  </w:style>
  <w:style w:type="paragraph" w:styleId="Nadpis7">
    <w:name w:val="heading 7"/>
    <w:basedOn w:val="Normln"/>
    <w:next w:val="Normln"/>
    <w:qFormat/>
    <w:rsid w:val="00011C6E"/>
    <w:pPr>
      <w:keepNext/>
      <w:numPr>
        <w:ilvl w:val="6"/>
        <w:numId w:val="1"/>
      </w:numPr>
      <w:spacing w:line="360" w:lineRule="auto"/>
      <w:jc w:val="both"/>
      <w:outlineLvl w:val="6"/>
    </w:pPr>
    <w:rPr>
      <w:rFonts w:cs="Arial"/>
      <w:b/>
      <w:bCs/>
      <w:i/>
      <w:iCs/>
      <w:sz w:val="28"/>
      <w:szCs w:val="24"/>
    </w:rPr>
  </w:style>
  <w:style w:type="paragraph" w:styleId="Nadpis8">
    <w:name w:val="heading 8"/>
    <w:basedOn w:val="Normln"/>
    <w:next w:val="Normln"/>
    <w:qFormat/>
    <w:rsid w:val="00011C6E"/>
    <w:pPr>
      <w:keepNext/>
      <w:numPr>
        <w:ilvl w:val="7"/>
        <w:numId w:val="1"/>
      </w:numPr>
      <w:spacing w:line="360" w:lineRule="auto"/>
      <w:jc w:val="both"/>
      <w:outlineLvl w:val="7"/>
    </w:pPr>
    <w:rPr>
      <w:rFonts w:cs="Arial"/>
      <w:b/>
      <w:bCs/>
      <w:sz w:val="36"/>
      <w:szCs w:val="24"/>
    </w:rPr>
  </w:style>
  <w:style w:type="paragraph" w:styleId="Nadpis9">
    <w:name w:val="heading 9"/>
    <w:basedOn w:val="Normln"/>
    <w:next w:val="Normln"/>
    <w:qFormat/>
    <w:rsid w:val="00011C6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11C6E"/>
    <w:pPr>
      <w:spacing w:line="360" w:lineRule="auto"/>
      <w:jc w:val="both"/>
    </w:pPr>
  </w:style>
  <w:style w:type="paragraph" w:styleId="Zpat">
    <w:name w:val="footer"/>
    <w:basedOn w:val="Normln"/>
    <w:link w:val="ZpatChar"/>
    <w:uiPriority w:val="99"/>
    <w:rsid w:val="00011C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11C6E"/>
  </w:style>
  <w:style w:type="paragraph" w:styleId="Textpoznpodarou">
    <w:name w:val="footnote text"/>
    <w:basedOn w:val="Normln"/>
    <w:link w:val="TextpoznpodarouChar"/>
    <w:semiHidden/>
    <w:rsid w:val="00011C6E"/>
    <w:rPr>
      <w:sz w:val="20"/>
    </w:rPr>
  </w:style>
  <w:style w:type="character" w:styleId="Znakapoznpodarou">
    <w:name w:val="footnote reference"/>
    <w:semiHidden/>
    <w:rsid w:val="00011C6E"/>
    <w:rPr>
      <w:vertAlign w:val="superscript"/>
    </w:rPr>
  </w:style>
  <w:style w:type="paragraph" w:styleId="Zkladntextodsazen">
    <w:name w:val="Body Text Indent"/>
    <w:basedOn w:val="Normln"/>
    <w:rsid w:val="00011C6E"/>
    <w:pPr>
      <w:spacing w:line="360" w:lineRule="auto"/>
      <w:ind w:firstLine="360"/>
      <w:jc w:val="both"/>
    </w:pPr>
  </w:style>
  <w:style w:type="paragraph" w:styleId="Zhlav">
    <w:name w:val="header"/>
    <w:basedOn w:val="Normln"/>
    <w:link w:val="ZhlavChar"/>
    <w:uiPriority w:val="99"/>
    <w:rsid w:val="00011C6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1C6E"/>
    <w:pPr>
      <w:spacing w:line="360" w:lineRule="auto"/>
      <w:jc w:val="both"/>
    </w:pPr>
  </w:style>
  <w:style w:type="paragraph" w:styleId="Zkladntextodsazen2">
    <w:name w:val="Body Text Indent 2"/>
    <w:basedOn w:val="Normln"/>
    <w:rsid w:val="00011C6E"/>
    <w:pPr>
      <w:spacing w:line="480" w:lineRule="auto"/>
      <w:ind w:firstLine="708"/>
      <w:jc w:val="both"/>
    </w:pPr>
    <w:rPr>
      <w:color w:val="FF0000"/>
    </w:rPr>
  </w:style>
  <w:style w:type="paragraph" w:styleId="Zkladntext3">
    <w:name w:val="Body Text 3"/>
    <w:basedOn w:val="Normln"/>
    <w:rsid w:val="00011C6E"/>
    <w:pPr>
      <w:spacing w:line="360" w:lineRule="auto"/>
      <w:jc w:val="both"/>
    </w:pPr>
    <w:rPr>
      <w:rFonts w:cs="Arial"/>
      <w:color w:val="008000"/>
    </w:rPr>
  </w:style>
  <w:style w:type="paragraph" w:styleId="Zkladntextodsazen3">
    <w:name w:val="Body Text Indent 3"/>
    <w:basedOn w:val="Normln"/>
    <w:rsid w:val="00011C6E"/>
    <w:pPr>
      <w:ind w:left="709"/>
      <w:jc w:val="both"/>
    </w:pPr>
  </w:style>
  <w:style w:type="character" w:styleId="Hypertextovodkaz">
    <w:name w:val="Hyperlink"/>
    <w:rsid w:val="00011C6E"/>
    <w:rPr>
      <w:color w:val="0000FF"/>
      <w:u w:val="single"/>
    </w:rPr>
  </w:style>
  <w:style w:type="paragraph" w:styleId="Rozvrendokumentu">
    <w:name w:val="Document Map"/>
    <w:basedOn w:val="Normln"/>
    <w:semiHidden/>
    <w:rsid w:val="005E664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558D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C453A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semiHidden/>
    <w:locked/>
    <w:rsid w:val="00D06104"/>
    <w:rPr>
      <w:rFonts w:ascii="Arial" w:hAnsi="Arial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765A0"/>
    <w:pPr>
      <w:ind w:left="708"/>
    </w:pPr>
  </w:style>
  <w:style w:type="character" w:customStyle="1" w:styleId="ZhlavChar">
    <w:name w:val="Záhlaví Char"/>
    <w:link w:val="Zhlav"/>
    <w:uiPriority w:val="99"/>
    <w:rsid w:val="00460545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26922"/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qFormat/>
    <w:rsid w:val="008C4B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C4B4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cs="Arial"/>
      <w:b/>
      <w:bCs/>
      <w:sz w:val="36"/>
      <w:szCs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cs="Arial"/>
      <w:b/>
      <w:bCs/>
      <w:i/>
      <w:iCs/>
      <w:sz w:val="28"/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cs="Arial"/>
      <w:b/>
      <w:bCs/>
      <w:sz w:val="36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spacing w:line="360" w:lineRule="auto"/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2">
    <w:name w:val="Body Text Indent 2"/>
    <w:basedOn w:val="Normln"/>
    <w:pPr>
      <w:spacing w:line="480" w:lineRule="auto"/>
      <w:ind w:firstLine="708"/>
      <w:jc w:val="both"/>
    </w:pPr>
    <w:rPr>
      <w:color w:val="FF0000"/>
    </w:rPr>
  </w:style>
  <w:style w:type="paragraph" w:styleId="Zkladntext3">
    <w:name w:val="Body Text 3"/>
    <w:basedOn w:val="Normln"/>
    <w:pPr>
      <w:spacing w:line="360" w:lineRule="auto"/>
      <w:jc w:val="both"/>
    </w:pPr>
    <w:rPr>
      <w:rFonts w:cs="Arial"/>
      <w:color w:val="008000"/>
    </w:rPr>
  </w:style>
  <w:style w:type="paragraph" w:styleId="Zkladntextodsazen3">
    <w:name w:val="Body Text Indent 3"/>
    <w:basedOn w:val="Normln"/>
    <w:pPr>
      <w:ind w:left="709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5E664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558D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C453A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semiHidden/>
    <w:locked/>
    <w:rsid w:val="00D06104"/>
    <w:rPr>
      <w:rFonts w:ascii="Arial" w:hAnsi="Arial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765A0"/>
    <w:pPr>
      <w:ind w:left="708"/>
    </w:pPr>
  </w:style>
  <w:style w:type="character" w:customStyle="1" w:styleId="ZhlavChar">
    <w:name w:val="Záhlaví Char"/>
    <w:link w:val="Zhlav"/>
    <w:uiPriority w:val="99"/>
    <w:rsid w:val="00460545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26922"/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qFormat/>
    <w:rsid w:val="008C4B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C4B4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2AEE-77BB-40A5-B534-5111EC8A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5435</Words>
  <Characters>32068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>MPSV CR</Company>
  <LinksUpToDate>false</LinksUpToDate>
  <CharactersWithSpaces>37429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MPSV</dc:creator>
  <cp:lastModifiedBy>OSPZV3 ospzv3</cp:lastModifiedBy>
  <cp:revision>2</cp:revision>
  <cp:lastPrinted>2016-02-25T12:20:00Z</cp:lastPrinted>
  <dcterms:created xsi:type="dcterms:W3CDTF">2016-02-25T12:22:00Z</dcterms:created>
  <dcterms:modified xsi:type="dcterms:W3CDTF">2016-02-25T12:22:00Z</dcterms:modified>
</cp:coreProperties>
</file>